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
          <w:bCs/>
          <w:sz w:val="23"/>
          <w:szCs w:val="23"/>
        </w:rPr>
      </w:pPr>
      <w:r>
        <w:rPr>
          <w:b/>
          <w:bCs/>
          <w:sz w:val="23"/>
          <w:szCs w:val="23"/>
        </w:rPr>
        <w:t>Synergistic Assimilation of SWOT and in-situ Observations for the 3D Reconstruction of a Small-Scale Intrathermocline Eddy</w:t>
      </w:r>
    </w:p>
    <w:p>
      <w:pPr>
        <w:pStyle w:val="Normal"/>
        <w:rPr>
          <w:sz w:val="21"/>
          <w:szCs w:val="21"/>
        </w:rPr>
      </w:pPr>
      <w:r>
        <w:rPr>
          <w:sz w:val="21"/>
          <w:szCs w:val="21"/>
        </w:rPr>
      </w:r>
    </w:p>
    <w:p>
      <w:pPr>
        <w:pStyle w:val="Normal"/>
        <w:rPr>
          <w:sz w:val="21"/>
          <w:szCs w:val="21"/>
        </w:rPr>
      </w:pPr>
      <w:r>
        <w:rPr>
          <w:sz w:val="21"/>
          <w:szCs w:val="21"/>
        </w:rPr>
        <w:t>Jen-Ping Peng</w:t>
      </w:r>
      <w:r>
        <w:rPr>
          <w:sz w:val="21"/>
          <w:szCs w:val="21"/>
          <w:vertAlign w:val="superscript"/>
        </w:rPr>
        <w:t>1</w:t>
      </w:r>
      <w:r>
        <w:rPr>
          <w:sz w:val="21"/>
          <w:szCs w:val="21"/>
        </w:rPr>
        <w:t>, Baptiste Mourre</w:t>
      </w:r>
      <w:r>
        <w:rPr>
          <w:sz w:val="21"/>
          <w:szCs w:val="21"/>
          <w:vertAlign w:val="superscript"/>
        </w:rPr>
        <w:t>1</w:t>
      </w:r>
      <w:r>
        <w:rPr>
          <w:sz w:val="21"/>
          <w:szCs w:val="21"/>
        </w:rPr>
        <w:t>, Maximo Garcia-Jove</w:t>
      </w:r>
      <w:r>
        <w:rPr>
          <w:sz w:val="21"/>
          <w:szCs w:val="21"/>
          <w:vertAlign w:val="superscript"/>
        </w:rPr>
        <w:t>2</w:t>
      </w:r>
      <w:r>
        <w:rPr>
          <w:sz w:val="21"/>
          <w:szCs w:val="21"/>
        </w:rPr>
        <w:t>, Elisabet Verger-Miralles</w:t>
      </w:r>
      <w:r>
        <w:rPr>
          <w:sz w:val="21"/>
          <w:szCs w:val="21"/>
          <w:vertAlign w:val="superscript"/>
        </w:rPr>
        <w:t>1</w:t>
      </w:r>
      <w:r>
        <w:rPr>
          <w:sz w:val="21"/>
          <w:szCs w:val="21"/>
        </w:rPr>
        <w:t>, Nikolaos D. Zarokanellos</w:t>
      </w:r>
      <w:r>
        <w:rPr>
          <w:sz w:val="21"/>
          <w:szCs w:val="21"/>
          <w:vertAlign w:val="superscript"/>
        </w:rPr>
        <w:t>2</w:t>
      </w:r>
      <w:r>
        <w:rPr>
          <w:sz w:val="21"/>
          <w:szCs w:val="21"/>
        </w:rPr>
        <w:t>, Ananda Pascual</w:t>
      </w:r>
      <w:r>
        <w:rPr>
          <w:sz w:val="21"/>
          <w:szCs w:val="21"/>
          <w:vertAlign w:val="superscript"/>
        </w:rPr>
        <w:t>1</w:t>
      </w:r>
    </w:p>
    <w:p>
      <w:pPr>
        <w:pStyle w:val="Normal"/>
        <w:rPr>
          <w:sz w:val="21"/>
          <w:szCs w:val="21"/>
        </w:rPr>
      </w:pPr>
      <w:r>
        <w:rPr>
          <w:sz w:val="21"/>
          <w:szCs w:val="21"/>
        </w:rPr>
      </w:r>
    </w:p>
    <w:p>
      <w:pPr>
        <w:pStyle w:val="Normal"/>
        <w:rPr>
          <w:sz w:val="21"/>
          <w:szCs w:val="21"/>
        </w:rPr>
      </w:pPr>
      <w:r>
        <w:rPr>
          <w:rFonts w:cs="Times New Roman" w:ascii="Helvetica;Arial;sans-serif" w:hAnsi="Helvetica;Arial;sans-serif"/>
          <w:b w:val="false"/>
          <w:i w:val="false"/>
          <w:caps w:val="false"/>
          <w:smallCaps w:val="false"/>
          <w:spacing w:val="0"/>
          <w:sz w:val="21"/>
          <w:szCs w:val="21"/>
          <w:vertAlign w:val="superscript"/>
        </w:rPr>
        <w:t xml:space="preserve">1 </w:t>
      </w:r>
      <w:r>
        <w:rPr>
          <w:rFonts w:cs="Times New Roman" w:ascii="Helvetica;Arial;sans-serif" w:hAnsi="Helvetica;Arial;sans-serif"/>
          <w:b w:val="false"/>
          <w:i w:val="false"/>
          <w:caps w:val="false"/>
          <w:smallCaps w:val="false"/>
          <w:spacing w:val="0"/>
          <w:sz w:val="21"/>
          <w:szCs w:val="21"/>
        </w:rPr>
        <w:t>Mediterranean Institute for Advanced Studies (IMEDEA, UIB-CSIC), Esporles, Spain</w:t>
      </w:r>
    </w:p>
    <w:p>
      <w:pPr>
        <w:pStyle w:val="Normal"/>
        <w:rPr>
          <w:sz w:val="21"/>
          <w:szCs w:val="21"/>
        </w:rPr>
      </w:pPr>
      <w:r>
        <w:rPr>
          <w:rFonts w:cs="Times New Roman" w:ascii="Helvetica;Arial;sans-serif" w:hAnsi="Helvetica;Arial;sans-serif"/>
          <w:b w:val="false"/>
          <w:i w:val="false"/>
          <w:caps w:val="false"/>
          <w:smallCaps w:val="false"/>
          <w:spacing w:val="0"/>
          <w:sz w:val="21"/>
          <w:szCs w:val="21"/>
          <w:vertAlign w:val="superscript"/>
        </w:rPr>
        <w:t xml:space="preserve">2 </w:t>
      </w:r>
      <w:r>
        <w:rPr>
          <w:rFonts w:cs="Times New Roman" w:ascii="Helvetica;Arial;sans-serif" w:hAnsi="Helvetica;Arial;sans-serif"/>
          <w:b w:val="false"/>
          <w:i w:val="false"/>
          <w:caps w:val="false"/>
          <w:smallCaps w:val="false"/>
          <w:spacing w:val="0"/>
          <w:sz w:val="21"/>
          <w:szCs w:val="21"/>
        </w:rPr>
        <w:t>Balearic Islands Coastal Observing And Forecasting System (SOCIB), Palma, Spain</w:t>
      </w:r>
    </w:p>
    <w:p>
      <w:pPr>
        <w:pStyle w:val="Normal"/>
        <w:rPr>
          <w:sz w:val="21"/>
          <w:szCs w:val="21"/>
        </w:rPr>
      </w:pPr>
      <w:r>
        <w:rPr>
          <w:sz w:val="21"/>
          <w:szCs w:val="21"/>
        </w:rPr>
      </w:r>
    </w:p>
    <w:p>
      <w:pPr>
        <w:pStyle w:val="Normal"/>
        <w:rPr>
          <w:sz w:val="21"/>
          <w:szCs w:val="21"/>
        </w:rPr>
      </w:pPr>
      <w:r>
        <w:rPr>
          <w:sz w:val="21"/>
          <w:szCs w:val="21"/>
        </w:rPr>
      </w:r>
    </w:p>
    <w:p>
      <w:pPr>
        <w:pStyle w:val="Normal"/>
        <w:rPr>
          <w:sz w:val="21"/>
          <w:szCs w:val="21"/>
        </w:rPr>
      </w:pPr>
      <w:r>
        <w:rPr>
          <w:sz w:val="21"/>
          <w:szCs w:val="21"/>
        </w:rPr>
        <w:t>Abstract</w:t>
      </w:r>
    </w:p>
    <w:p>
      <w:pPr>
        <w:pStyle w:val="Normal"/>
        <w:rPr/>
      </w:pPr>
      <w:r>
        <w:rPr>
          <w:b w:val="false"/>
          <w:bCs w:val="false"/>
          <w:sz w:val="21"/>
          <w:szCs w:val="21"/>
        </w:rPr>
        <w:t xml:space="preserve">Small-scale intrathermocline eddies are difficult to constrain in ocean models because their strongest density and velocity anomalies are subsurface, while their sea surface signature remains weak. Here, we use observations from the Surface Water and Ocean Topography (SWOT) mission and the FaSt-SWOT field campaign to reconstruct a small-scale intrathermocline eddy in the western Mediterranean (April - May 2023). Daily SWOT wide-swath sea surface height, together with glider and CTD profiles, are assimilated into the Western Mediterranean OPerational forecasting system at 2 km and hourly resolution, </w:t>
      </w:r>
      <w:r>
        <w:rPr>
          <w:rFonts w:ascii="Times New Roman;serif" w:hAnsi="Times New Roman;serif"/>
          <w:b w:val="false"/>
          <w:bCs w:val="false"/>
          <w:i w:val="false"/>
          <w:caps w:val="false"/>
          <w:smallCaps w:val="false"/>
          <w:spacing w:val="0"/>
          <w:sz w:val="21"/>
          <w:szCs w:val="21"/>
        </w:rPr>
        <w:t xml:space="preserve">we evaluate the </w:t>
      </w:r>
      <w:r>
        <w:rPr>
          <w:rStyle w:val="StrongEmphasis"/>
          <w:rFonts w:ascii="Times New Roman;serif" w:hAnsi="Times New Roman;serif"/>
          <w:b w:val="false"/>
          <w:bCs w:val="false"/>
          <w:i w:val="false"/>
          <w:caps w:val="false"/>
          <w:smallCaps w:val="false"/>
          <w:spacing w:val="0"/>
          <w:sz w:val="21"/>
          <w:szCs w:val="21"/>
        </w:rPr>
        <w:t>respective contributions of satellite and in-situ observations</w:t>
      </w:r>
      <w:r>
        <w:rPr>
          <w:rFonts w:ascii="Times New Roman;serif" w:hAnsi="Times New Roman;serif"/>
          <w:b w:val="false"/>
          <w:bCs w:val="false"/>
          <w:i w:val="false"/>
          <w:caps w:val="false"/>
          <w:smallCaps w:val="false"/>
          <w:spacing w:val="0"/>
          <w:sz w:val="21"/>
          <w:szCs w:val="21"/>
        </w:rPr>
        <w:t xml:space="preserve"> to model reconstruction. Three assimilation strategies are compared: (1) SWOT SSH only, (2) </w:t>
      </w:r>
      <w:r>
        <w:rPr>
          <w:rStyle w:val="StrongEmphasis"/>
          <w:rFonts w:ascii="Times New Roman;serif" w:hAnsi="Times New Roman;serif"/>
          <w:b w:val="false"/>
          <w:bCs w:val="false"/>
          <w:i w:val="false"/>
          <w:caps w:val="false"/>
          <w:smallCaps w:val="false"/>
          <w:spacing w:val="0"/>
          <w:sz w:val="21"/>
          <w:szCs w:val="21"/>
        </w:rPr>
        <w:t>in-situ</w:t>
      </w:r>
      <w:r>
        <w:rPr>
          <w:rFonts w:ascii="Times New Roman;serif" w:hAnsi="Times New Roman;serif"/>
          <w:b w:val="false"/>
          <w:bCs w:val="false"/>
          <w:i w:val="false"/>
          <w:caps w:val="false"/>
          <w:smallCaps w:val="false"/>
          <w:spacing w:val="0"/>
          <w:sz w:val="21"/>
          <w:szCs w:val="21"/>
        </w:rPr>
        <w:t xml:space="preserve"> observations only, and (3) both combined, all built on a generic baseline assimilation of along-track </w:t>
      </w:r>
      <w:bookmarkStart w:id="0" w:name="docs-internal-guid-002f07d3-7fff-8379-ca"/>
      <w:bookmarkEnd w:id="0"/>
      <w:r>
        <w:rPr>
          <w:rFonts w:ascii="Times New Roman;serif" w:hAnsi="Times New Roman;serif"/>
          <w:b w:val="false"/>
          <w:bCs w:val="false"/>
          <w:i w:val="false"/>
          <w:caps w:val="false"/>
          <w:smallCaps w:val="false"/>
          <w:strike w:val="false"/>
          <w:dstrike w:val="false"/>
          <w:color w:val="000000"/>
          <w:spacing w:val="0"/>
          <w:sz w:val="21"/>
          <w:szCs w:val="21"/>
          <w:u w:val="none"/>
          <w:effect w:val="none"/>
          <w:shd w:fill="auto" w:val="clear"/>
        </w:rPr>
        <w:t xml:space="preserve">SLA, SST, HF-radar, moorings. </w:t>
      </w:r>
      <w:r>
        <w:rPr>
          <w:b w:val="false"/>
          <w:bCs w:val="false"/>
          <w:sz w:val="21"/>
          <w:szCs w:val="21"/>
        </w:rPr>
        <w:t xml:space="preserve">Our results show that SWOT provides the key horizontal constraint, improving the eddy position, surface expression, and surrounding circulation. In contrast, glider and CTD observations provide the vertical information required to recover the subsurface structure and dynamical core of the intrathermocline eddy. Neither observing system alone is sufficient to reconstruct the full three-dimensional eddy structure. Only their joint assimilation reconstructs both dimensions consistently, yielding the best overall performance, including a 32% reduction in spatial SSH error and, on the key across-eddy section, RMSE reductions of 55% in density. Independent ADCP validation further shows that joint assimilation more realistically captures the subsurface velocity structure relative to the SWOT only simulation, relative to the </w:t>
      </w:r>
      <w:r>
        <w:rPr>
          <w:rStyle w:val="StrongEmphasis"/>
          <w:b w:val="false"/>
          <w:bCs w:val="false"/>
          <w:sz w:val="21"/>
          <w:szCs w:val="21"/>
        </w:rPr>
        <w:t>SWOT-only</w:t>
      </w:r>
      <w:r>
        <w:rPr>
          <w:b w:val="false"/>
          <w:bCs w:val="false"/>
          <w:sz w:val="21"/>
          <w:szCs w:val="21"/>
        </w:rPr>
        <w:t xml:space="preserve"> simulation, </w:t>
      </w:r>
      <w:r>
        <w:rPr>
          <w:rStyle w:val="StrongEmphasis"/>
          <w:b w:val="false"/>
          <w:bCs w:val="false"/>
          <w:sz w:val="21"/>
          <w:szCs w:val="21"/>
        </w:rPr>
        <w:t>which instead reconstructs a surface-intensified eddy</w:t>
      </w:r>
      <w:r>
        <w:rPr>
          <w:b w:val="false"/>
          <w:bCs w:val="false"/>
          <w:sz w:val="21"/>
          <w:szCs w:val="21"/>
        </w:rPr>
        <w:t xml:space="preserve">. </w:t>
      </w:r>
      <w:r>
        <w:rPr>
          <w:rFonts w:ascii="Times New Roman;serif" w:hAnsi="Times New Roman;serif"/>
          <w:b w:val="false"/>
          <w:bCs w:val="false"/>
          <w:i w:val="false"/>
          <w:caps w:val="false"/>
          <w:smallCaps w:val="false"/>
          <w:spacing w:val="0"/>
          <w:sz w:val="21"/>
          <w:szCs w:val="21"/>
        </w:rPr>
        <w:t>These results highlight the feasibility and value of integrating spatially extensive satellite data with vertically resolved in-situ measurements into a regional ocean model</w:t>
      </w:r>
      <w:r>
        <w:rPr>
          <w:rStyle w:val="StrongEmphasis"/>
          <w:rFonts w:ascii="Times New Roman;serif" w:hAnsi="Times New Roman;serif"/>
          <w:b w:val="false"/>
          <w:bCs w:val="false"/>
          <w:i w:val="false"/>
          <w:caps w:val="false"/>
          <w:smallCaps w:val="false"/>
          <w:spacing w:val="0"/>
          <w:sz w:val="21"/>
          <w:szCs w:val="21"/>
        </w:rPr>
        <w:t xml:space="preserve"> and</w:t>
      </w:r>
      <w:r>
        <w:rPr>
          <w:rFonts w:ascii="Times New Roman;serif" w:hAnsi="Times New Roman;serif"/>
          <w:b w:val="false"/>
          <w:bCs w:val="false"/>
          <w:i w:val="false"/>
          <w:caps w:val="false"/>
          <w:smallCaps w:val="false"/>
          <w:spacing w:val="0"/>
          <w:sz w:val="21"/>
          <w:szCs w:val="21"/>
        </w:rPr>
        <w:t xml:space="preserve"> establishes a robust framework for improving finescale ocean analysis and forecasting in the SWOT era.</w:t>
      </w:r>
    </w:p>
    <w:p>
      <w:pPr>
        <w:pStyle w:val="Normal"/>
        <w:rPr>
          <w:sz w:val="21"/>
          <w:szCs w:val="21"/>
        </w:rPr>
      </w:pPr>
      <w:r>
        <w:rPr>
          <w:sz w:val="21"/>
          <w:szCs w:val="21"/>
        </w:rPr>
      </w:r>
    </w:p>
    <w:p>
      <w:pPr>
        <w:pStyle w:val="TextBody"/>
        <w:rPr>
          <w:rFonts w:ascii="Aptos" w:hAnsi="Aptos"/>
          <w:sz w:val="21"/>
          <w:szCs w:val="21"/>
        </w:rPr>
      </w:pPr>
      <w:r>
        <w:rPr>
          <w:rFonts w:ascii="Aptos" w:hAnsi="Aptos"/>
          <w:sz w:val="21"/>
          <w:szCs w:val="21"/>
        </w:rPr>
      </w:r>
    </w:p>
    <w:p>
      <w:pPr>
        <w:pStyle w:val="TextBody"/>
        <w:rPr>
          <w:rFonts w:ascii="Aptos" w:hAnsi="Aptos"/>
          <w:sz w:val="21"/>
          <w:szCs w:val="21"/>
        </w:rPr>
      </w:pPr>
      <w:r>
        <w:rPr>
          <w:rFonts w:ascii="Aptos" w:hAnsi="Aptos"/>
          <w:sz w:val="21"/>
          <w:szCs w:val="21"/>
        </w:rPr>
      </w:r>
    </w:p>
    <w:p>
      <w:pPr>
        <w:pStyle w:val="TextBody"/>
        <w:rPr>
          <w:rFonts w:ascii="Aptos" w:hAnsi="Aptos"/>
          <w:sz w:val="21"/>
          <w:szCs w:val="21"/>
        </w:rPr>
      </w:pPr>
      <w:r>
        <w:rPr>
          <w:rFonts w:ascii="Aptos" w:hAnsi="Aptos"/>
          <w:sz w:val="21"/>
          <w:szCs w:val="21"/>
        </w:rPr>
      </w:r>
    </w:p>
    <w:p>
      <w:pPr>
        <w:pStyle w:val="TextBody"/>
        <w:spacing w:before="0" w:after="140"/>
        <w:rPr>
          <w:rFonts w:ascii="Aptos" w:hAnsi="Aptos"/>
          <w:sz w:val="21"/>
          <w:szCs w:val="21"/>
        </w:rPr>
      </w:pPr>
      <w:r>
        <w:rPr>
          <w:rFonts w:ascii="Aptos" w:hAnsi="Aptos"/>
          <w:sz w:val="21"/>
          <w:szCs w:val="21"/>
        </w:rPr>
      </w:r>
    </w:p>
    <w:sectPr>
      <w:type w:val="nextPage"/>
      <w:pgSz w:w="11906" w:h="16838"/>
      <w:pgMar w:left="1800" w:right="1800" w:gutter="0" w:header="0" w:top="1134"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roman"/>
    <w:pitch w:val="variable"/>
  </w:font>
  <w:font w:name="Helvetica">
    <w:altName w:val="Arial"/>
    <w:charset w:val="01"/>
    <w:family w:val="roman"/>
    <w:pitch w:val="variable"/>
  </w:font>
  <w:font w:name="Times New Roman">
    <w:altName w:val="serif"/>
    <w:charset w:val="01"/>
    <w:family w:val="roman"/>
    <w:pitch w:val="variable"/>
  </w:font>
  <w:font w:name="Aptos">
    <w:charset w:val="01"/>
    <w:family w:val="roman"/>
    <w:pitch w:val="variable"/>
  </w:font>
</w:fonts>
</file>

<file path=word/settings.xml><?xml version="1.0" encoding="utf-8"?>
<w:settings xmlns:w="http://schemas.openxmlformats.org/wordprocessingml/2006/main">
  <w:zoom w:percent="160"/>
  <w:defaultTabStop w:val="42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n-GB" w:eastAsia="en-GB" w:bidi="ar-SA"/>
      </w:rPr>
    </w:rPrDefault>
    <w:pPrDefault>
      <w:pPr>
        <w:suppressAutoHyphens w:val="true"/>
      </w:pPr>
    </w:pPrDefault>
  </w:docDefaults>
  <w:style w:type="paragraph" w:styleId="Normal">
    <w:name w:val="Normal"/>
    <w:qFormat/>
    <w:pPr>
      <w:widowControl w:val="false"/>
      <w:suppressAutoHyphens w:val="true"/>
      <w:kinsoku w:val="true"/>
      <w:overflowPunct w:val="true"/>
      <w:autoSpaceDE w:val="true"/>
      <w:bidi w:val="0"/>
      <w:spacing w:before="0" w:after="0"/>
      <w:jc w:val="both"/>
    </w:pPr>
    <w:rPr>
      <w:rFonts w:ascii="Times New Roman" w:hAnsi="Times New Roman" w:eastAsia="SimSun" w:cs="Times New Roman"/>
      <w:color w:val="auto"/>
      <w:kern w:val="2"/>
      <w:sz w:val="21"/>
      <w:szCs w:val="22"/>
      <w:lang w:val="en-US" w:eastAsia="zh-CN" w:bidi="ar-SA"/>
    </w:rPr>
  </w:style>
  <w:style w:type="character" w:styleId="DefaultParagraphFont">
    <w:name w:val="Default Paragraph Font"/>
    <w:qFormat/>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1601</TotalTime>
  <Application>LibreOffice/7.3.7.2$Linux_X86_64 LibreOffice_project/30$Build-2</Application>
  <AppVersion>15.0000</AppVersion>
  <Pages>1</Pages>
  <Words>338</Words>
  <Characters>2188</Characters>
  <CharactersWithSpaces>2520</CharactersWithSpaces>
  <Paragraphs>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2024-12-05T11:08:00Z</dcterms:created>
  <dc:creator>张 苗茵</dc:creator>
  <dc:description/>
  <dc:language>en-US</dc:language>
  <cp:lastModifiedBy/>
  <dcterms:modified xsi:type="dcterms:W3CDTF">2026-04-01T12:16:37Z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31DF4B301F96420485D3BBD7451342B9_13</vt:lpwstr>
  </property>
  <property fmtid="{D5CDD505-2E9C-101B-9397-08002B2CF9AE}" pid="3" name="KSOProductBuildVer">
    <vt:lpwstr>2052-11.1.0.14036</vt:lpwstr>
  </property>
</Properties>
</file>