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AE20B" w14:textId="77777777" w:rsidR="000C32AF" w:rsidRPr="000C32AF" w:rsidRDefault="000C32AF" w:rsidP="001205F0">
      <w:pPr>
        <w:pStyle w:val="Web"/>
        <w:jc w:val="center"/>
        <w:rPr>
          <w:rFonts w:ascii="Aptos" w:eastAsia="BIZ UD明朝 Medium" w:hAnsi="Aptos" w:cstheme="minorBidi"/>
          <w:b/>
          <w:bCs/>
          <w:kern w:val="2"/>
          <w:sz w:val="22"/>
        </w:rPr>
      </w:pPr>
      <w:r w:rsidRPr="000C32AF">
        <w:rPr>
          <w:rFonts w:ascii="Aptos" w:eastAsia="BIZ UD明朝 Medium" w:hAnsi="Aptos" w:cstheme="minorBidi"/>
          <w:b/>
          <w:bCs/>
          <w:kern w:val="2"/>
          <w:sz w:val="22"/>
        </w:rPr>
        <w:t>Global Ocean Dissolved Iron Distribution Inferred from an Optimized Model and Its Sensitivity to Observational Data Coverage</w:t>
      </w:r>
    </w:p>
    <w:p w14:paraId="66489A74" w14:textId="1E297C68" w:rsidR="00125A7A" w:rsidRPr="000C32AF" w:rsidRDefault="000C32AF" w:rsidP="000C32AF">
      <w:pPr>
        <w:pStyle w:val="Web"/>
        <w:jc w:val="center"/>
        <w:rPr>
          <w:rFonts w:ascii="Aptos" w:eastAsia="BIZ UD明朝 Medium" w:hAnsi="Aptos" w:cstheme="minorBidi"/>
          <w:kern w:val="2"/>
          <w:sz w:val="22"/>
        </w:rPr>
      </w:pPr>
      <w:proofErr w:type="spellStart"/>
      <w:r w:rsidRPr="000C32AF">
        <w:rPr>
          <w:rFonts w:ascii="Aptos" w:eastAsia="BIZ UD明朝 Medium" w:hAnsi="Aptos" w:cstheme="minorBidi"/>
          <w:kern w:val="2"/>
          <w:sz w:val="22"/>
        </w:rPr>
        <w:t>Toshimasa</w:t>
      </w:r>
      <w:proofErr w:type="spellEnd"/>
      <w:r w:rsidRPr="000C32AF">
        <w:rPr>
          <w:rFonts w:ascii="Aptos" w:eastAsia="BIZ UD明朝 Medium" w:hAnsi="Aptos" w:cstheme="minorBidi"/>
          <w:kern w:val="2"/>
          <w:sz w:val="22"/>
        </w:rPr>
        <w:t xml:space="preserve"> Doi</w:t>
      </w:r>
      <w:r w:rsidRPr="000C32AF">
        <w:rPr>
          <w:rFonts w:ascii="Aptos" w:eastAsia="BIZ UD明朝 Medium" w:hAnsi="Aptos" w:cstheme="minorBidi"/>
          <w:kern w:val="2"/>
          <w:sz w:val="22"/>
          <w:vertAlign w:val="superscript"/>
        </w:rPr>
        <w:t>1</w:t>
      </w:r>
      <w:r w:rsidRPr="000C32AF">
        <w:rPr>
          <w:rFonts w:ascii="Aptos" w:eastAsia="BIZ UD明朝 Medium" w:hAnsi="Aptos" w:cstheme="minorBidi"/>
          <w:kern w:val="2"/>
          <w:sz w:val="22"/>
        </w:rPr>
        <w:t>, Satoshi Osafune</w:t>
      </w:r>
      <w:r w:rsidRPr="000C32AF">
        <w:rPr>
          <w:rFonts w:ascii="Aptos" w:eastAsia="BIZ UD明朝 Medium" w:hAnsi="Aptos" w:cstheme="minorBidi"/>
          <w:kern w:val="2"/>
          <w:sz w:val="22"/>
          <w:vertAlign w:val="superscript"/>
        </w:rPr>
        <w:t>1</w:t>
      </w:r>
      <w:r w:rsidRPr="000C32AF">
        <w:rPr>
          <w:rFonts w:ascii="Aptos" w:eastAsia="BIZ UD明朝 Medium" w:hAnsi="Aptos" w:cstheme="minorBidi"/>
          <w:kern w:val="2"/>
          <w:sz w:val="22"/>
        </w:rPr>
        <w:t>, Shinya Kouketsu</w:t>
      </w:r>
      <w:r w:rsidRPr="000C32AF">
        <w:rPr>
          <w:rFonts w:ascii="Aptos" w:eastAsia="BIZ UD明朝 Medium" w:hAnsi="Aptos" w:cstheme="minorBidi"/>
          <w:kern w:val="2"/>
          <w:sz w:val="22"/>
          <w:vertAlign w:val="superscript"/>
        </w:rPr>
        <w:t>1</w:t>
      </w:r>
    </w:p>
    <w:p w14:paraId="7E7C06AA" w14:textId="3ED4CB83" w:rsidR="000C32AF" w:rsidRPr="000C32AF" w:rsidRDefault="000C32AF" w:rsidP="001205F0">
      <w:pPr>
        <w:pStyle w:val="Web"/>
        <w:jc w:val="center"/>
        <w:rPr>
          <w:rFonts w:ascii="Aptos" w:eastAsia="BIZ UD明朝 Medium" w:hAnsi="Aptos" w:cstheme="minorBidi"/>
          <w:kern w:val="2"/>
          <w:sz w:val="22"/>
        </w:rPr>
      </w:pPr>
      <w:r w:rsidRPr="000C32AF">
        <w:rPr>
          <w:rFonts w:ascii="Aptos" w:eastAsia="BIZ UD明朝 Medium" w:hAnsi="Aptos" w:cstheme="minorBidi"/>
          <w:kern w:val="2"/>
          <w:sz w:val="22"/>
          <w:vertAlign w:val="superscript"/>
        </w:rPr>
        <w:t>1</w:t>
      </w:r>
      <w:r w:rsidRPr="000C32AF">
        <w:rPr>
          <w:rFonts w:ascii="Aptos" w:eastAsia="BIZ UD明朝 Medium" w:hAnsi="Aptos" w:cstheme="minorBidi"/>
          <w:kern w:val="2"/>
          <w:sz w:val="22"/>
        </w:rPr>
        <w:t>Global Ocean Observation Research Center, Research Institute for Global Change, Japan Agency for Marine-Earth Science and Technology (JAMSTEC)</w:t>
      </w:r>
    </w:p>
    <w:p w14:paraId="7303CA49" w14:textId="77777777" w:rsidR="000C32AF" w:rsidRPr="000C32AF" w:rsidRDefault="000C32AF" w:rsidP="00125A7A">
      <w:pPr>
        <w:pStyle w:val="Web"/>
        <w:rPr>
          <w:rFonts w:ascii="Aptos" w:eastAsia="BIZ UD明朝 Medium" w:hAnsi="Aptos" w:cstheme="minorBidi"/>
          <w:kern w:val="2"/>
          <w:sz w:val="22"/>
        </w:rPr>
      </w:pPr>
    </w:p>
    <w:p w14:paraId="57BC1A7C" w14:textId="77777777" w:rsidR="00125A7A" w:rsidRPr="001205F0" w:rsidRDefault="00125A7A" w:rsidP="00125A7A">
      <w:pPr>
        <w:pStyle w:val="Web"/>
        <w:rPr>
          <w:rFonts w:ascii="Aptos" w:eastAsia="BIZ UD明朝 Medium" w:hAnsi="Aptos" w:cstheme="minorBidi"/>
          <w:b/>
          <w:bCs/>
          <w:kern w:val="2"/>
          <w:sz w:val="22"/>
        </w:rPr>
      </w:pPr>
      <w:r w:rsidRPr="001205F0">
        <w:rPr>
          <w:rFonts w:ascii="Aptos" w:eastAsia="BIZ UD明朝 Medium" w:hAnsi="Aptos" w:cstheme="minorBidi"/>
          <w:b/>
          <w:bCs/>
          <w:kern w:val="2"/>
          <w:sz w:val="22"/>
        </w:rPr>
        <w:t>Abstract</w:t>
      </w:r>
    </w:p>
    <w:p w14:paraId="0894F3C1" w14:textId="77777777" w:rsidR="000C32AF" w:rsidRDefault="000C32AF" w:rsidP="000C32AF">
      <w:pPr>
        <w:rPr>
          <w:rFonts w:ascii="Aptos" w:hAnsi="Aptos"/>
        </w:rPr>
      </w:pPr>
      <w:r w:rsidRPr="000C32AF">
        <w:rPr>
          <w:rFonts w:ascii="Aptos" w:hAnsi="Aptos"/>
        </w:rPr>
        <w:t>Dissolved iron in the ocean is an essential micronutrient for phytoplankton growth and plays a critical role in regulating primary production. However, significant uncertainties remain in its concentration, distribution, and biogeochemical cycling. In particular, it is difficult to characterize basin-scale spatial structures and temporal variability solely from observations due to the scarcity of available data. In recent years, observational datasets of trace metals, including iron, have been expanded through international efforts such as GEOTRACES (GEOTRACES Intermediate Data Product 2021: IDP2021).</w:t>
      </w:r>
    </w:p>
    <w:p w14:paraId="0B4002B6" w14:textId="77777777" w:rsidR="001205F0" w:rsidRPr="000C32AF" w:rsidRDefault="001205F0" w:rsidP="000C32AF">
      <w:pPr>
        <w:rPr>
          <w:rFonts w:ascii="Aptos" w:hAnsi="Aptos"/>
        </w:rPr>
      </w:pPr>
    </w:p>
    <w:p w14:paraId="2944345F" w14:textId="77777777" w:rsidR="000C32AF" w:rsidRDefault="000C32AF" w:rsidP="000C32AF">
      <w:pPr>
        <w:rPr>
          <w:rFonts w:ascii="Aptos" w:hAnsi="Aptos"/>
        </w:rPr>
      </w:pPr>
      <w:r w:rsidRPr="000C32AF">
        <w:rPr>
          <w:rFonts w:ascii="Aptos" w:hAnsi="Aptos"/>
        </w:rPr>
        <w:t xml:space="preserve">In this study, we aim to estimate a realistic three-dimensional distribution of dissolved iron in the global ocean by assimilating observational data into a numerical model. We developed a simplified iron cycle model that accounts for major processes, including sources and sinks, advection and diffusion, interactions with particulate matter, and biological uptake. For data assimilation, we employed a </w:t>
      </w:r>
      <w:proofErr w:type="gramStart"/>
      <w:r w:rsidRPr="000C32AF">
        <w:rPr>
          <w:rFonts w:ascii="Aptos" w:hAnsi="Aptos"/>
        </w:rPr>
        <w:t>Green’s</w:t>
      </w:r>
      <w:proofErr w:type="gramEnd"/>
      <w:r w:rsidRPr="000C32AF">
        <w:rPr>
          <w:rFonts w:ascii="Aptos" w:hAnsi="Aptos"/>
        </w:rPr>
        <w:t xml:space="preserve"> function approach to determine the optimal combination of control variables in a least-squares framework.</w:t>
      </w:r>
    </w:p>
    <w:p w14:paraId="7AF0702F" w14:textId="77777777" w:rsidR="001205F0" w:rsidRPr="000C32AF" w:rsidRDefault="001205F0" w:rsidP="000C32AF">
      <w:pPr>
        <w:rPr>
          <w:rFonts w:ascii="Aptos" w:hAnsi="Aptos"/>
        </w:rPr>
      </w:pPr>
    </w:p>
    <w:p w14:paraId="0585279D" w14:textId="77777777" w:rsidR="000C32AF" w:rsidRDefault="000C32AF" w:rsidP="000C32AF">
      <w:pPr>
        <w:rPr>
          <w:rFonts w:ascii="Aptos" w:hAnsi="Aptos"/>
        </w:rPr>
      </w:pPr>
      <w:r w:rsidRPr="000C32AF">
        <w:rPr>
          <w:rFonts w:ascii="Aptos" w:hAnsi="Aptos"/>
        </w:rPr>
        <w:t>The results show a clear improvement in model performance, with correlation coefficients between modeled and observed dissolved iron concentrations increasing from 0.33 to 0.47 in the Atlantic Ocean and from 0.58 to 0.71 in the Pacific Ocean. The reconstructed three-dimensional distribution reveals that the relative contributions of iron sources differ significantly between ocean basins. Furthermore, the residence time of dissolved iron is estimated to be 17.5 years in the Atlantic and 69.8 years in the Pacific, indicating substantial differences in iron cycling between these basins.</w:t>
      </w:r>
    </w:p>
    <w:p w14:paraId="01BC0419" w14:textId="77777777" w:rsidR="001205F0" w:rsidRPr="000C32AF" w:rsidRDefault="001205F0" w:rsidP="000C32AF">
      <w:pPr>
        <w:rPr>
          <w:rFonts w:ascii="Aptos" w:hAnsi="Aptos"/>
        </w:rPr>
      </w:pPr>
    </w:p>
    <w:p w14:paraId="0619E49C" w14:textId="1441E402" w:rsidR="000A6507" w:rsidRPr="000C32AF" w:rsidRDefault="000C32AF" w:rsidP="000C32AF">
      <w:pPr>
        <w:rPr>
          <w:rFonts w:ascii="Aptos" w:hAnsi="Aptos"/>
        </w:rPr>
      </w:pPr>
      <w:r w:rsidRPr="000C32AF">
        <w:rPr>
          <w:rFonts w:ascii="Aptos" w:hAnsi="Aptos"/>
        </w:rPr>
        <w:t>In this presentation, we discuss the basin-scale differences in iron behavior suggested by the model results, including variations in sources, transport, and removal processes. We also present results from sensitivity analyses to evaluate how the spatial distribution of observational data influences the optimization of the assimilated fields.</w:t>
      </w:r>
    </w:p>
    <w:p w14:paraId="53DF61B8" w14:textId="77777777" w:rsidR="000A6507" w:rsidRPr="000C32AF" w:rsidRDefault="000A6507" w:rsidP="00916EB0">
      <w:pPr>
        <w:rPr>
          <w:rFonts w:ascii="Aptos" w:hAnsi="Aptos"/>
        </w:rPr>
      </w:pPr>
    </w:p>
    <w:p w14:paraId="1F8A9178" w14:textId="77777777" w:rsidR="000A6507" w:rsidRPr="000C32AF" w:rsidRDefault="000A6507" w:rsidP="00916EB0">
      <w:pPr>
        <w:rPr>
          <w:rFonts w:ascii="Aptos" w:hAnsi="Aptos"/>
        </w:rPr>
      </w:pPr>
    </w:p>
    <w:p w14:paraId="3EBE5F13" w14:textId="77777777" w:rsidR="009579E3" w:rsidRPr="000C32AF" w:rsidRDefault="009579E3" w:rsidP="00916EB0">
      <w:pPr>
        <w:rPr>
          <w:rFonts w:ascii="Aptos" w:hAnsi="Aptos"/>
        </w:rPr>
      </w:pPr>
    </w:p>
    <w:p w14:paraId="757FC4B5" w14:textId="77777777" w:rsidR="009579E3" w:rsidRPr="000C32AF" w:rsidRDefault="009579E3" w:rsidP="00916EB0">
      <w:pPr>
        <w:rPr>
          <w:rFonts w:ascii="Aptos" w:hAnsi="Aptos"/>
        </w:rPr>
      </w:pPr>
    </w:p>
    <w:p w14:paraId="09EBC4BF" w14:textId="77777777" w:rsidR="009579E3" w:rsidRPr="000C32AF" w:rsidRDefault="009579E3" w:rsidP="00916EB0">
      <w:pPr>
        <w:rPr>
          <w:rFonts w:ascii="Aptos" w:hAnsi="Aptos"/>
        </w:rPr>
      </w:pPr>
    </w:p>
    <w:sectPr w:rsidR="009579E3" w:rsidRPr="000C32AF" w:rsidSect="000C32AF">
      <w:pgSz w:w="11906" w:h="16838" w:code="9"/>
      <w:pgMar w:top="1134" w:right="1797" w:bottom="1440" w:left="1797" w:header="851" w:footer="992" w:gutter="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B0"/>
    <w:rsid w:val="000A6507"/>
    <w:rsid w:val="000C32AF"/>
    <w:rsid w:val="00111B63"/>
    <w:rsid w:val="001205F0"/>
    <w:rsid w:val="00125A7A"/>
    <w:rsid w:val="00171AAE"/>
    <w:rsid w:val="00233D6D"/>
    <w:rsid w:val="007B4FB2"/>
    <w:rsid w:val="00916EB0"/>
    <w:rsid w:val="00950548"/>
    <w:rsid w:val="009579E3"/>
    <w:rsid w:val="00996C8F"/>
    <w:rsid w:val="009C6025"/>
    <w:rsid w:val="00A7042E"/>
    <w:rsid w:val="00AC50D0"/>
    <w:rsid w:val="00CE4D86"/>
    <w:rsid w:val="00D650BE"/>
    <w:rsid w:val="00E53A99"/>
    <w:rsid w:val="00E95DD3"/>
    <w:rsid w:val="00F60E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AFAF5A9"/>
  <w15:chartTrackingRefBased/>
  <w15:docId w15:val="{81067819-A71D-4C9D-9E41-2B0E9B871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明朝 Medium" w:eastAsia="BIZ UD明朝 Medium" w:hAnsi="BIZ UD明朝 Medium" w:cstheme="minorBidi"/>
        <w:kern w:val="2"/>
        <w:sz w:val="22"/>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042E"/>
  </w:style>
  <w:style w:type="paragraph" w:styleId="1">
    <w:name w:val="heading 1"/>
    <w:basedOn w:val="a"/>
    <w:next w:val="a"/>
    <w:link w:val="10"/>
    <w:uiPriority w:val="9"/>
    <w:qFormat/>
    <w:rsid w:val="00A7042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7042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7042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7042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7042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7042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7042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7042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7042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7042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7042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7042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7042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7042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7042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7042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7042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7042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7042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704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7042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7042E"/>
    <w:rPr>
      <w:rFonts w:asciiTheme="majorHAnsi" w:eastAsiaTheme="majorEastAsia" w:hAnsiTheme="majorHAnsi" w:cstheme="majorBidi"/>
      <w:color w:val="595959" w:themeColor="text1" w:themeTint="A6"/>
      <w:spacing w:val="15"/>
      <w:sz w:val="28"/>
      <w:szCs w:val="28"/>
    </w:rPr>
  </w:style>
  <w:style w:type="paragraph" w:styleId="a7">
    <w:name w:val="List Paragraph"/>
    <w:basedOn w:val="a"/>
    <w:uiPriority w:val="34"/>
    <w:qFormat/>
    <w:rsid w:val="00A7042E"/>
    <w:pPr>
      <w:ind w:left="720"/>
      <w:contextualSpacing/>
    </w:pPr>
  </w:style>
  <w:style w:type="paragraph" w:styleId="a8">
    <w:name w:val="Quote"/>
    <w:basedOn w:val="a"/>
    <w:next w:val="a"/>
    <w:link w:val="a9"/>
    <w:uiPriority w:val="29"/>
    <w:qFormat/>
    <w:rsid w:val="00A7042E"/>
    <w:pPr>
      <w:spacing w:before="160" w:after="160"/>
      <w:jc w:val="center"/>
    </w:pPr>
    <w:rPr>
      <w:i/>
      <w:iCs/>
      <w:color w:val="404040" w:themeColor="text1" w:themeTint="BF"/>
    </w:rPr>
  </w:style>
  <w:style w:type="character" w:customStyle="1" w:styleId="a9">
    <w:name w:val="引用文 (文字)"/>
    <w:basedOn w:val="a0"/>
    <w:link w:val="a8"/>
    <w:uiPriority w:val="29"/>
    <w:rsid w:val="00A7042E"/>
    <w:rPr>
      <w:i/>
      <w:iCs/>
      <w:color w:val="404040" w:themeColor="text1" w:themeTint="BF"/>
    </w:rPr>
  </w:style>
  <w:style w:type="paragraph" w:styleId="21">
    <w:name w:val="Intense Quote"/>
    <w:basedOn w:val="a"/>
    <w:next w:val="a"/>
    <w:link w:val="22"/>
    <w:uiPriority w:val="30"/>
    <w:qFormat/>
    <w:rsid w:val="00A70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2">
    <w:name w:val="引用文 2 (文字)"/>
    <w:basedOn w:val="a0"/>
    <w:link w:val="21"/>
    <w:uiPriority w:val="30"/>
    <w:rsid w:val="00A7042E"/>
    <w:rPr>
      <w:i/>
      <w:iCs/>
      <w:color w:val="2F5496" w:themeColor="accent1" w:themeShade="BF"/>
    </w:rPr>
  </w:style>
  <w:style w:type="character" w:styleId="23">
    <w:name w:val="Intense Emphasis"/>
    <w:basedOn w:val="a0"/>
    <w:uiPriority w:val="21"/>
    <w:qFormat/>
    <w:rsid w:val="00A7042E"/>
    <w:rPr>
      <w:i/>
      <w:iCs/>
      <w:color w:val="2F5496" w:themeColor="accent1" w:themeShade="BF"/>
    </w:rPr>
  </w:style>
  <w:style w:type="character" w:styleId="24">
    <w:name w:val="Intense Reference"/>
    <w:basedOn w:val="a0"/>
    <w:uiPriority w:val="32"/>
    <w:qFormat/>
    <w:rsid w:val="00A7042E"/>
    <w:rPr>
      <w:b/>
      <w:bCs/>
      <w:smallCaps/>
      <w:color w:val="2F5496" w:themeColor="accent1" w:themeShade="BF"/>
      <w:spacing w:val="5"/>
    </w:rPr>
  </w:style>
  <w:style w:type="paragraph" w:styleId="Web">
    <w:name w:val="Normal (Web)"/>
    <w:basedOn w:val="a"/>
    <w:uiPriority w:val="99"/>
    <w:unhideWhenUsed/>
    <w:rsid w:val="00950548"/>
    <w:pPr>
      <w:spacing w:before="100" w:beforeAutospacing="1" w:after="100" w:afterAutospacing="1"/>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ユーザー定義BIZud">
      <a:majorFont>
        <a:latin typeface="BIZ UDゴシック"/>
        <a:ea typeface="BIZ UDゴシック"/>
        <a:cs typeface=""/>
      </a:majorFont>
      <a:minorFont>
        <a:latin typeface="BIZ UD明朝 Medium"/>
        <a:ea typeface="BIZ UD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358</Words>
  <Characters>2043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doit</dc:creator>
  <cp:keywords/>
  <dc:description/>
  <cp:lastModifiedBy>doit</cp:lastModifiedBy>
  <cp:revision>1</cp:revision>
  <dcterms:created xsi:type="dcterms:W3CDTF">2026-03-24T04:16:00Z</dcterms:created>
  <dcterms:modified xsi:type="dcterms:W3CDTF">2026-03-24T05:55:00Z</dcterms:modified>
</cp:coreProperties>
</file>