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20632" w14:textId="77777777" w:rsidR="00207B46" w:rsidRPr="00207B46" w:rsidRDefault="00207B46">
      <w:pPr>
        <w:rPr>
          <w:lang w:val="pt-PT"/>
        </w:rPr>
      </w:pPr>
    </w:p>
    <w:p w14:paraId="4DFDAE50" w14:textId="0C19A3CE" w:rsidR="00207B46" w:rsidRDefault="00207B46" w:rsidP="00207B46">
      <w:pPr>
        <w:pStyle w:val="Heading2"/>
      </w:pPr>
      <w:r w:rsidRPr="00207B46">
        <w:t>Impact of</w:t>
      </w:r>
      <w:r>
        <w:t xml:space="preserve"> enhancement of the number and types of assimilated observations</w:t>
      </w:r>
      <w:r w:rsidR="00A35597">
        <w:t xml:space="preserve"> in the biogeochemical modelling of the Mediterranean Sea</w:t>
      </w:r>
    </w:p>
    <w:p w14:paraId="100791B2" w14:textId="2D9C5C3D" w:rsidR="00207B46" w:rsidRDefault="00207B46" w:rsidP="00207B46">
      <w:pPr>
        <w:rPr>
          <w:rStyle w:val="SubtleEmphasis"/>
          <w:lang w:val="it-IT"/>
        </w:rPr>
      </w:pPr>
      <w:r w:rsidRPr="00207B46">
        <w:rPr>
          <w:rStyle w:val="SubtleEmphasis"/>
          <w:lang w:val="it-IT"/>
        </w:rPr>
        <w:t>Anna Teruzzi</w:t>
      </w:r>
      <w:r w:rsidR="0032702E" w:rsidRPr="0032702E">
        <w:rPr>
          <w:rStyle w:val="SubtleEmphasis"/>
          <w:vertAlign w:val="superscript"/>
          <w:lang w:val="it-IT"/>
        </w:rPr>
        <w:t>1</w:t>
      </w:r>
      <w:r w:rsidRPr="00207B46">
        <w:rPr>
          <w:rStyle w:val="SubtleEmphasis"/>
          <w:lang w:val="it-IT"/>
        </w:rPr>
        <w:t>, Simone Spada</w:t>
      </w:r>
      <w:r w:rsidR="0032702E" w:rsidRPr="0032702E">
        <w:rPr>
          <w:rStyle w:val="SubtleEmphasis"/>
          <w:vertAlign w:val="superscript"/>
          <w:lang w:val="it-IT"/>
        </w:rPr>
        <w:t>1</w:t>
      </w:r>
      <w:r w:rsidRPr="00207B46">
        <w:rPr>
          <w:rStyle w:val="SubtleEmphasis"/>
          <w:lang w:val="it-IT"/>
        </w:rPr>
        <w:t xml:space="preserve">, </w:t>
      </w:r>
      <w:r w:rsidR="0032702E">
        <w:rPr>
          <w:rStyle w:val="SubtleEmphasis"/>
          <w:lang w:val="it-IT"/>
        </w:rPr>
        <w:t>Carolina Amadio</w:t>
      </w:r>
      <w:r w:rsidR="0032702E" w:rsidRPr="0032702E">
        <w:rPr>
          <w:rStyle w:val="SubtleEmphasis"/>
          <w:vertAlign w:val="superscript"/>
          <w:lang w:val="it-IT"/>
        </w:rPr>
        <w:t>1</w:t>
      </w:r>
      <w:r w:rsidR="0032702E">
        <w:rPr>
          <w:rStyle w:val="SubtleEmphasis"/>
          <w:lang w:val="it-IT"/>
        </w:rPr>
        <w:t xml:space="preserve"> a</w:t>
      </w:r>
      <w:r w:rsidR="00D063E1">
        <w:rPr>
          <w:rStyle w:val="SubtleEmphasis"/>
          <w:lang w:val="it-IT"/>
        </w:rPr>
        <w:t xml:space="preserve">nd </w:t>
      </w:r>
      <w:r w:rsidRPr="00207B46">
        <w:rPr>
          <w:rStyle w:val="SubtleEmphasis"/>
          <w:lang w:val="it-IT"/>
        </w:rPr>
        <w:t>Gianpiero C</w:t>
      </w:r>
      <w:r>
        <w:rPr>
          <w:rStyle w:val="SubtleEmphasis"/>
          <w:lang w:val="it-IT"/>
        </w:rPr>
        <w:t>ossarini</w:t>
      </w:r>
      <w:r w:rsidR="0032702E" w:rsidRPr="0032702E">
        <w:rPr>
          <w:rStyle w:val="SubtleEmphasis"/>
          <w:vertAlign w:val="superscript"/>
          <w:lang w:val="it-IT"/>
        </w:rPr>
        <w:t>1</w:t>
      </w:r>
    </w:p>
    <w:p w14:paraId="151E8556" w14:textId="3042F490" w:rsidR="0032702E" w:rsidRDefault="0032702E" w:rsidP="00CC221B">
      <w:r w:rsidRPr="0032702E">
        <w:rPr>
          <w:rStyle w:val="SubtleEmphasis"/>
          <w:vertAlign w:val="superscript"/>
        </w:rPr>
        <w:t>1</w:t>
      </w:r>
      <w:r>
        <w:t>National institute of Oceanography and Applied Geophysics – OGS, Italy</w:t>
      </w:r>
    </w:p>
    <w:p w14:paraId="41D0F5B5" w14:textId="628B4D3A" w:rsidR="00D063E1" w:rsidRPr="00446942" w:rsidRDefault="00D063E1" w:rsidP="00CC221B">
      <w:r w:rsidRPr="00446942">
        <w:t xml:space="preserve">In the </w:t>
      </w:r>
      <w:r>
        <w:t xml:space="preserve">biogeochemical </w:t>
      </w:r>
      <w:r w:rsidRPr="00446942">
        <w:t xml:space="preserve">modelling system of the Mediterranean Sea, operationally active in the Copernicus Marine Service, </w:t>
      </w:r>
      <w:r>
        <w:t>the assimilation of observations of different variables provided from both remote (satellites) and in-situ (</w:t>
      </w:r>
      <w:r w:rsidR="0032702E">
        <w:t>BGC-</w:t>
      </w:r>
      <w:r>
        <w:t xml:space="preserve">Argo floats) sensors plays a key role in the quality of the released product. </w:t>
      </w:r>
      <w:r w:rsidR="00250533">
        <w:t>S</w:t>
      </w:r>
      <w:r>
        <w:t xml:space="preserve">atellite </w:t>
      </w:r>
      <w:r w:rsidR="00250533">
        <w:t>estimates</w:t>
      </w:r>
      <w:r>
        <w:t xml:space="preserve"> of chlorophyll concentration</w:t>
      </w:r>
      <w:r w:rsidR="00250533">
        <w:t xml:space="preserve"> </w:t>
      </w:r>
      <w:r w:rsidR="0032702E">
        <w:t xml:space="preserve">provide </w:t>
      </w:r>
      <w:r w:rsidR="00250533">
        <w:t xml:space="preserve">a nearly uniform spatial and temporal coverage of surface biogeochemical dynamics, </w:t>
      </w:r>
      <w:r w:rsidR="0032702E">
        <w:t>ensuring</w:t>
      </w:r>
      <w:r w:rsidR="00250533">
        <w:t xml:space="preserve"> </w:t>
      </w:r>
      <w:r w:rsidR="00824248">
        <w:t>a continuous and positive impacts on simulati</w:t>
      </w:r>
      <w:r w:rsidR="00CC221B">
        <w:t>ng</w:t>
      </w:r>
      <w:r w:rsidR="00824248">
        <w:t xml:space="preserve"> </w:t>
      </w:r>
      <w:r w:rsidR="00CC221B">
        <w:t>the</w:t>
      </w:r>
      <w:r w:rsidR="00824248">
        <w:t xml:space="preserve"> seasonality of biogeochemical processes</w:t>
      </w:r>
      <w:r w:rsidR="00CC221B">
        <w:t xml:space="preserve"> at basin scale</w:t>
      </w:r>
      <w:r w:rsidR="00824248">
        <w:t xml:space="preserve">. On the other hand, </w:t>
      </w:r>
      <w:r w:rsidR="00CC221B">
        <w:t>t</w:t>
      </w:r>
      <w:r w:rsidR="00CC221B" w:rsidRPr="00CC221B">
        <w:t xml:space="preserve">he availability of real-time </w:t>
      </w:r>
      <w:r w:rsidR="00CC221B">
        <w:t xml:space="preserve">measurements from </w:t>
      </w:r>
      <w:r w:rsidR="00CC221B" w:rsidRPr="00CC221B">
        <w:t xml:space="preserve">Argo </w:t>
      </w:r>
      <w:r w:rsidR="00CC221B">
        <w:t xml:space="preserve">floats </w:t>
      </w:r>
      <w:r w:rsidR="00CC221B" w:rsidRPr="00CC221B">
        <w:t xml:space="preserve">has </w:t>
      </w:r>
      <w:r w:rsidR="00CC221B">
        <w:t xml:space="preserve">increased the capability to impact biogeochemical vertical dynamics at local scales throughout data assimilation. To achieve this goal, data assimilation for the Mediterranean Sea has been developed in recent years to include an increasing number of variables starting from chlorophyll and including also neural-network reconstructed profiles. A recent development </w:t>
      </w:r>
      <w:r w:rsidR="0032702E">
        <w:t>is</w:t>
      </w:r>
      <w:r w:rsidR="00CC221B">
        <w:t xml:space="preserve"> the inclusion of </w:t>
      </w:r>
      <w:r w:rsidRPr="00446942">
        <w:t xml:space="preserve">a one-way coupled physical-biogeochemical assimilation. The coupled </w:t>
      </w:r>
      <w:r w:rsidR="0032702E">
        <w:t>data assimilation</w:t>
      </w:r>
      <w:r w:rsidRPr="00446942">
        <w:t xml:space="preserve"> </w:t>
      </w:r>
      <w:r w:rsidR="0032702E">
        <w:t xml:space="preserve">(DA) </w:t>
      </w:r>
      <w:r w:rsidRPr="00446942">
        <w:t xml:space="preserve">applies a balancing scheme </w:t>
      </w:r>
      <w:r w:rsidR="00CC221B">
        <w:t>based on nitrate-density covariances</w:t>
      </w:r>
      <w:r w:rsidRPr="00446942">
        <w:t xml:space="preserve"> to calculate the increments of nutrient</w:t>
      </w:r>
      <w:r w:rsidR="00CC221B">
        <w:t xml:space="preserve"> concentrations</w:t>
      </w:r>
      <w:r w:rsidRPr="00446942">
        <w:t xml:space="preserve"> from the increments of the physical variables (temperature and salinity). </w:t>
      </w:r>
      <w:r w:rsidR="00CC221B">
        <w:t>Using the nitrate density-</w:t>
      </w:r>
      <w:r w:rsidRPr="00446942">
        <w:t xml:space="preserve">covariances calculated </w:t>
      </w:r>
      <w:r w:rsidR="00CC221B">
        <w:t>on</w:t>
      </w:r>
      <w:r w:rsidRPr="00446942">
        <w:t xml:space="preserve"> the 2013-2024 Argo and BGC</w:t>
      </w:r>
      <w:r w:rsidR="00CC221B">
        <w:t>-</w:t>
      </w:r>
      <w:r w:rsidRPr="00446942">
        <w:t>Argo profiles in the Mediterranean Sea</w:t>
      </w:r>
      <w:r w:rsidR="00CC221B">
        <w:t xml:space="preserve">, </w:t>
      </w:r>
      <w:r w:rsidRPr="00446942">
        <w:t>the coupled DA has been tested using physical increments derived from the assimilation of temperature and salinity profiles. The results are analy</w:t>
      </w:r>
      <w:r w:rsidR="00CC221B">
        <w:t>s</w:t>
      </w:r>
      <w:r w:rsidRPr="00446942">
        <w:t xml:space="preserve">ed focusing on connected physical-biogeochemical dynamics to </w:t>
      </w:r>
      <w:r w:rsidR="0032702E">
        <w:t>investigate how</w:t>
      </w:r>
      <w:r w:rsidRPr="00446942">
        <w:t xml:space="preserve"> the coupled DA </w:t>
      </w:r>
      <w:r w:rsidR="0032702E">
        <w:t>can improve</w:t>
      </w:r>
      <w:r w:rsidRPr="00446942">
        <w:t xml:space="preserve"> biogeochemical predictions </w:t>
      </w:r>
      <w:r w:rsidR="0032702E">
        <w:t>by ensuring</w:t>
      </w:r>
      <w:r w:rsidRPr="00446942">
        <w:t xml:space="preserve"> more consistent vertical patterns between physical and biogeochemical variables.</w:t>
      </w:r>
    </w:p>
    <w:p w14:paraId="60E8A76C" w14:textId="086EF713" w:rsidR="00207B46" w:rsidRPr="00D063E1" w:rsidRDefault="00207B46" w:rsidP="00207B46">
      <w:pPr>
        <w:rPr>
          <w:rStyle w:val="SubtleEmphasis"/>
          <w:i w:val="0"/>
          <w:iCs w:val="0"/>
        </w:rPr>
      </w:pPr>
    </w:p>
    <w:sectPr w:rsidR="00207B46" w:rsidRPr="00D063E1" w:rsidSect="00C31C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46"/>
    <w:rsid w:val="00005213"/>
    <w:rsid w:val="00207B46"/>
    <w:rsid w:val="00250533"/>
    <w:rsid w:val="002828A3"/>
    <w:rsid w:val="0032702E"/>
    <w:rsid w:val="003C2F75"/>
    <w:rsid w:val="007D028E"/>
    <w:rsid w:val="00824248"/>
    <w:rsid w:val="00A35597"/>
    <w:rsid w:val="00C14F09"/>
    <w:rsid w:val="00C31C0D"/>
    <w:rsid w:val="00CC221B"/>
    <w:rsid w:val="00D06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EB470"/>
  <w15:chartTrackingRefBased/>
  <w15:docId w15:val="{D9CF956C-B5B4-4EF6-B52D-71F826AAD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B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7B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B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B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B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B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7B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B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B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B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B46"/>
    <w:rPr>
      <w:rFonts w:eastAsiaTheme="majorEastAsia" w:cstheme="majorBidi"/>
      <w:color w:val="272727" w:themeColor="text1" w:themeTint="D8"/>
    </w:rPr>
  </w:style>
  <w:style w:type="paragraph" w:styleId="Title">
    <w:name w:val="Title"/>
    <w:basedOn w:val="Normal"/>
    <w:next w:val="Normal"/>
    <w:link w:val="TitleChar"/>
    <w:uiPriority w:val="10"/>
    <w:qFormat/>
    <w:rsid w:val="00207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B46"/>
    <w:pPr>
      <w:spacing w:before="160"/>
      <w:jc w:val="center"/>
    </w:pPr>
    <w:rPr>
      <w:i/>
      <w:iCs/>
      <w:color w:val="404040" w:themeColor="text1" w:themeTint="BF"/>
    </w:rPr>
  </w:style>
  <w:style w:type="character" w:customStyle="1" w:styleId="QuoteChar">
    <w:name w:val="Quote Char"/>
    <w:basedOn w:val="DefaultParagraphFont"/>
    <w:link w:val="Quote"/>
    <w:uiPriority w:val="29"/>
    <w:rsid w:val="00207B46"/>
    <w:rPr>
      <w:i/>
      <w:iCs/>
      <w:color w:val="404040" w:themeColor="text1" w:themeTint="BF"/>
    </w:rPr>
  </w:style>
  <w:style w:type="paragraph" w:styleId="ListParagraph">
    <w:name w:val="List Paragraph"/>
    <w:basedOn w:val="Normal"/>
    <w:uiPriority w:val="34"/>
    <w:qFormat/>
    <w:rsid w:val="00207B46"/>
    <w:pPr>
      <w:ind w:left="720"/>
      <w:contextualSpacing/>
    </w:pPr>
  </w:style>
  <w:style w:type="character" w:styleId="IntenseEmphasis">
    <w:name w:val="Intense Emphasis"/>
    <w:basedOn w:val="DefaultParagraphFont"/>
    <w:uiPriority w:val="21"/>
    <w:qFormat/>
    <w:rsid w:val="00207B46"/>
    <w:rPr>
      <w:i/>
      <w:iCs/>
      <w:color w:val="0F4761" w:themeColor="accent1" w:themeShade="BF"/>
    </w:rPr>
  </w:style>
  <w:style w:type="paragraph" w:styleId="IntenseQuote">
    <w:name w:val="Intense Quote"/>
    <w:basedOn w:val="Normal"/>
    <w:next w:val="Normal"/>
    <w:link w:val="IntenseQuoteChar"/>
    <w:uiPriority w:val="30"/>
    <w:qFormat/>
    <w:rsid w:val="00207B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B46"/>
    <w:rPr>
      <w:i/>
      <w:iCs/>
      <w:color w:val="0F4761" w:themeColor="accent1" w:themeShade="BF"/>
    </w:rPr>
  </w:style>
  <w:style w:type="character" w:styleId="IntenseReference">
    <w:name w:val="Intense Reference"/>
    <w:basedOn w:val="DefaultParagraphFont"/>
    <w:uiPriority w:val="32"/>
    <w:qFormat/>
    <w:rsid w:val="00207B46"/>
    <w:rPr>
      <w:b/>
      <w:bCs/>
      <w:smallCaps/>
      <w:color w:val="0F4761" w:themeColor="accent1" w:themeShade="BF"/>
      <w:spacing w:val="5"/>
    </w:rPr>
  </w:style>
  <w:style w:type="character" w:styleId="SubtleEmphasis">
    <w:name w:val="Subtle Emphasis"/>
    <w:basedOn w:val="DefaultParagraphFont"/>
    <w:uiPriority w:val="19"/>
    <w:qFormat/>
    <w:rsid w:val="00207B4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Teruzzi</dc:creator>
  <cp:keywords/>
  <dc:description/>
  <cp:lastModifiedBy>Anna Teruzzi</cp:lastModifiedBy>
  <cp:revision>1</cp:revision>
  <dcterms:created xsi:type="dcterms:W3CDTF">2026-03-27T12:54:00Z</dcterms:created>
  <dcterms:modified xsi:type="dcterms:W3CDTF">2026-03-27T17:20:00Z</dcterms:modified>
</cp:coreProperties>
</file>