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21463" w14:textId="4A42A263" w:rsidR="00D1293E" w:rsidRPr="00FB38A7" w:rsidRDefault="002324F1" w:rsidP="006F5DFA">
      <w:pPr>
        <w:jc w:val="center"/>
        <w:rPr>
          <w:rFonts w:ascii="Aptos" w:hAnsi="Aptos"/>
          <w:b/>
          <w:bCs/>
          <w:sz w:val="24"/>
          <w:szCs w:val="28"/>
        </w:rPr>
      </w:pPr>
      <w:r w:rsidRPr="002324F1">
        <w:rPr>
          <w:rFonts w:ascii="Aptos" w:hAnsi="Aptos"/>
          <w:b/>
          <w:bCs/>
          <w:sz w:val="24"/>
          <w:szCs w:val="28"/>
        </w:rPr>
        <w:t>The spread of terrestrial waters around the Shimokita Peninsula into the coastal region and its impact</w:t>
      </w:r>
      <w:r w:rsidR="00461985">
        <w:rPr>
          <w:rFonts w:ascii="Aptos" w:hAnsi="Aptos"/>
          <w:b/>
          <w:bCs/>
          <w:sz w:val="24"/>
          <w:szCs w:val="28"/>
        </w:rPr>
        <w:t>s</w:t>
      </w:r>
      <w:r w:rsidRPr="002324F1">
        <w:rPr>
          <w:rFonts w:ascii="Aptos" w:hAnsi="Aptos"/>
          <w:b/>
          <w:bCs/>
          <w:sz w:val="24"/>
          <w:szCs w:val="28"/>
        </w:rPr>
        <w:t>:</w:t>
      </w:r>
      <w:r w:rsidR="006F5DFA">
        <w:rPr>
          <w:rFonts w:ascii="Aptos" w:hAnsi="Aptos"/>
          <w:b/>
          <w:bCs/>
          <w:sz w:val="24"/>
          <w:szCs w:val="28"/>
        </w:rPr>
        <w:t xml:space="preserve"> </w:t>
      </w:r>
      <w:r w:rsidRPr="002324F1">
        <w:rPr>
          <w:rFonts w:ascii="Aptos" w:hAnsi="Aptos"/>
          <w:b/>
          <w:bCs/>
          <w:sz w:val="24"/>
          <w:szCs w:val="28"/>
        </w:rPr>
        <w:t>An analysis based on coastal observations and high-resolution ocean model outputs.</w:t>
      </w:r>
    </w:p>
    <w:p w14:paraId="072B1498" w14:textId="77777777" w:rsidR="00D1293E" w:rsidRPr="00FB38A7" w:rsidRDefault="00D1293E" w:rsidP="00D1293E">
      <w:pPr>
        <w:jc w:val="center"/>
        <w:rPr>
          <w:rFonts w:ascii="Aptos" w:hAnsi="Aptos"/>
          <w:b/>
          <w:bCs/>
          <w:sz w:val="22"/>
        </w:rPr>
      </w:pPr>
    </w:p>
    <w:p w14:paraId="5C91ADF2" w14:textId="60FBB8F5" w:rsidR="00D9276E" w:rsidRPr="00FB38A7" w:rsidRDefault="00AC706E" w:rsidP="00D1293E">
      <w:pPr>
        <w:jc w:val="center"/>
        <w:rPr>
          <w:rFonts w:ascii="Aptos" w:hAnsi="Aptos"/>
          <w:sz w:val="22"/>
          <w:vertAlign w:val="superscript"/>
        </w:rPr>
      </w:pPr>
      <w:r>
        <w:rPr>
          <w:rFonts w:ascii="Aptos" w:hAnsi="Aptos"/>
          <w:sz w:val="22"/>
        </w:rPr>
        <w:t>Hitoshi KANEKO</w:t>
      </w:r>
      <w:r w:rsidR="00B605E2" w:rsidRPr="00FB38A7">
        <w:rPr>
          <w:rFonts w:ascii="Aptos" w:hAnsi="Aptos"/>
          <w:sz w:val="22"/>
          <w:vertAlign w:val="superscript"/>
        </w:rPr>
        <w:t>1</w:t>
      </w:r>
    </w:p>
    <w:p w14:paraId="2B4BCEC7" w14:textId="77777777" w:rsidR="00D1293E" w:rsidRPr="00FB38A7" w:rsidRDefault="00D1293E" w:rsidP="00D1293E">
      <w:pPr>
        <w:jc w:val="center"/>
        <w:rPr>
          <w:rFonts w:ascii="Aptos" w:hAnsi="Aptos"/>
          <w:sz w:val="22"/>
          <w:vertAlign w:val="superscript"/>
        </w:rPr>
      </w:pPr>
    </w:p>
    <w:p w14:paraId="5BCB122D" w14:textId="3F5AA727" w:rsidR="00D9276E" w:rsidRDefault="00DC0D46" w:rsidP="00AC706E">
      <w:pPr>
        <w:jc w:val="center"/>
        <w:rPr>
          <w:rFonts w:ascii="Aptos" w:hAnsi="Aptos" w:cs="Times New Roman"/>
          <w:sz w:val="22"/>
        </w:rPr>
      </w:pPr>
      <w:r w:rsidRPr="00FB38A7">
        <w:rPr>
          <w:rFonts w:ascii="Aptos" w:hAnsi="Aptos" w:cs="Times New Roman"/>
          <w:sz w:val="22"/>
          <w:vertAlign w:val="superscript"/>
        </w:rPr>
        <w:t>1</w:t>
      </w:r>
      <w:r w:rsidR="00B605E2" w:rsidRPr="00FB38A7">
        <w:rPr>
          <w:rFonts w:ascii="Aptos" w:hAnsi="Aptos" w:cs="Times New Roman"/>
          <w:sz w:val="22"/>
        </w:rPr>
        <w:t>Affiliation one</w:t>
      </w:r>
      <w:r w:rsidR="00684C2C" w:rsidRPr="00684C2C">
        <w:rPr>
          <w:rFonts w:ascii="HiraKakuProN-W3" w:eastAsia="HiraKakuProN-W3" w:cs="HiraKakuProN-W3"/>
          <w:kern w:val="0"/>
          <w:sz w:val="24"/>
          <w:szCs w:val="24"/>
          <w:lang w:eastAsia="en-GB"/>
        </w:rPr>
        <w:t xml:space="preserve"> </w:t>
      </w:r>
      <w:r w:rsidR="00684C2C" w:rsidRPr="00684C2C">
        <w:rPr>
          <w:rFonts w:ascii="Aptos" w:hAnsi="Aptos" w:cs="Times New Roman"/>
          <w:sz w:val="22"/>
        </w:rPr>
        <w:t>Mutsu Institute for Oceanography (MIO)</w:t>
      </w:r>
      <w:r w:rsidR="00AC706E">
        <w:rPr>
          <w:rFonts w:ascii="Aptos" w:hAnsi="Aptos" w:cs="Times New Roman"/>
          <w:sz w:val="22"/>
        </w:rPr>
        <w:t xml:space="preserve">, </w:t>
      </w:r>
      <w:r w:rsidR="00684C2C" w:rsidRPr="00684C2C">
        <w:rPr>
          <w:rFonts w:ascii="Aptos" w:hAnsi="Aptos" w:cs="Times New Roman"/>
          <w:sz w:val="22"/>
        </w:rPr>
        <w:t>Research Institute for Global Change (RIGC)</w:t>
      </w:r>
      <w:r w:rsidR="00AC706E">
        <w:rPr>
          <w:rFonts w:ascii="Aptos" w:hAnsi="Aptos" w:cs="Times New Roman"/>
          <w:sz w:val="22"/>
        </w:rPr>
        <w:t xml:space="preserve">, </w:t>
      </w:r>
      <w:r w:rsidR="00684C2C" w:rsidRPr="00684C2C">
        <w:rPr>
          <w:rFonts w:ascii="Aptos" w:hAnsi="Aptos" w:cs="Times New Roman"/>
          <w:sz w:val="22"/>
        </w:rPr>
        <w:t>Japan Agency for Marine-Earth Science and Technology (JAMSTEC)</w:t>
      </w:r>
    </w:p>
    <w:p w14:paraId="4D36E90A" w14:textId="77777777" w:rsidR="00D1293E" w:rsidRPr="00FB38A7" w:rsidRDefault="00D1293E" w:rsidP="00D1293E">
      <w:pPr>
        <w:jc w:val="center"/>
        <w:rPr>
          <w:rFonts w:ascii="Aptos" w:hAnsi="Aptos" w:cs="Times New Roman"/>
          <w:sz w:val="22"/>
        </w:rPr>
      </w:pP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40CFA3CE" w14:textId="337D7E8B" w:rsidR="00C0455E" w:rsidRDefault="00C0455E" w:rsidP="00C0455E">
      <w:pPr>
        <w:rPr>
          <w:rFonts w:ascii="Aptos" w:hAnsi="Aptos"/>
          <w:sz w:val="22"/>
        </w:rPr>
      </w:pPr>
      <w:r w:rsidRPr="00C0455E">
        <w:rPr>
          <w:rFonts w:ascii="Aptos" w:hAnsi="Aptos"/>
          <w:sz w:val="22"/>
        </w:rPr>
        <w:t>Along the northern coast of the Shimokita Peninsula, there is active fisheries activity, including the cultivation of scallops using the “jimaki” (grazing) method.</w:t>
      </w:r>
      <w:r>
        <w:rPr>
          <w:rFonts w:ascii="Aptos" w:hAnsi="Aptos"/>
          <w:sz w:val="22"/>
        </w:rPr>
        <w:t xml:space="preserve"> </w:t>
      </w:r>
      <w:r w:rsidRPr="00C0455E">
        <w:rPr>
          <w:rFonts w:ascii="Aptos" w:hAnsi="Aptos"/>
          <w:sz w:val="22"/>
        </w:rPr>
        <w:t>This area is strongly influenced by water transported by the Tsugaru Warm Current (TWC), which is characterized by higher temperature, higher salinity, and lower nutrient levels than those on the Hokkaido side of the strait, where subarctic water masses such as the coastal Oyashio Current Water are found; consequently, the nutrient environment here has traditionally been considered poorer. However, recent research using new approaches is beginning to change this long-held view.</w:t>
      </w:r>
    </w:p>
    <w:p w14:paraId="0C5311EF" w14:textId="77777777" w:rsidR="00C0455E" w:rsidRPr="00C0455E" w:rsidRDefault="00C0455E" w:rsidP="00C0455E">
      <w:pPr>
        <w:rPr>
          <w:rFonts w:ascii="Aptos" w:hAnsi="Aptos"/>
          <w:sz w:val="22"/>
        </w:rPr>
      </w:pPr>
    </w:p>
    <w:p w14:paraId="78CBE64E" w14:textId="77777777" w:rsidR="00C0455E" w:rsidRDefault="00C0455E" w:rsidP="00C0455E">
      <w:pPr>
        <w:rPr>
          <w:rFonts w:ascii="Aptos" w:hAnsi="Aptos"/>
          <w:sz w:val="22"/>
        </w:rPr>
      </w:pPr>
      <w:r w:rsidRPr="00C0455E">
        <w:rPr>
          <w:rFonts w:ascii="Aptos" w:hAnsi="Aptos"/>
          <w:sz w:val="22"/>
        </w:rPr>
        <w:t>Recent studies using high-frequency radar surface current velocity data have revealed an anticyclonic circulation with a diameter of approximately 30 kilometers between the TWC and the coast of the peninsula during summer. Within this circulation region, surface chlorophyll-</w:t>
      </w:r>
      <w:r w:rsidRPr="00C0455E">
        <w:rPr>
          <w:rFonts w:ascii="Aptos" w:hAnsi="Aptos"/>
          <w:i/>
          <w:iCs/>
          <w:sz w:val="22"/>
        </w:rPr>
        <w:t>a</w:t>
      </w:r>
      <w:r w:rsidRPr="00C0455E">
        <w:rPr>
          <w:rFonts w:ascii="Aptos" w:hAnsi="Aptos"/>
          <w:sz w:val="22"/>
        </w:rPr>
        <w:t xml:space="preserve"> concentrations observed by satellites are higher than those on the northern side of the TWC during summer, and diatoms are relatively abundant, forming a unique ecosystem.</w:t>
      </w:r>
    </w:p>
    <w:p w14:paraId="60299C3A" w14:textId="77777777" w:rsidR="00C0455E" w:rsidRPr="00C0455E" w:rsidRDefault="00C0455E" w:rsidP="00C0455E">
      <w:pPr>
        <w:rPr>
          <w:rFonts w:ascii="Aptos" w:hAnsi="Aptos"/>
          <w:sz w:val="22"/>
        </w:rPr>
      </w:pPr>
    </w:p>
    <w:p w14:paraId="1897C073" w14:textId="4538ED92" w:rsidR="00C0455E" w:rsidRDefault="00C0455E" w:rsidP="00C0455E">
      <w:pPr>
        <w:rPr>
          <w:rFonts w:ascii="Aptos" w:hAnsi="Aptos"/>
          <w:sz w:val="22"/>
        </w:rPr>
      </w:pPr>
      <w:r w:rsidRPr="00C0455E">
        <w:rPr>
          <w:rFonts w:ascii="Aptos" w:hAnsi="Aptos"/>
          <w:sz w:val="22"/>
        </w:rPr>
        <w:t>In this study, we examined the background supporting this unique biological production environment by focusing on the inflow of nutrients and other substances from land-based sources and assessing their impact using chemical tracers.</w:t>
      </w:r>
      <w:r>
        <w:rPr>
          <w:rFonts w:ascii="Aptos" w:hAnsi="Aptos"/>
          <w:sz w:val="22"/>
        </w:rPr>
        <w:t xml:space="preserve"> </w:t>
      </w:r>
      <w:r w:rsidRPr="00C0455E">
        <w:rPr>
          <w:rFonts w:ascii="Aptos" w:hAnsi="Aptos"/>
          <w:sz w:val="22"/>
        </w:rPr>
        <w:t>Furthermore, with the cooperation of the fishing industry, we conducted coastal observations, including moored temperature buoys and observations from fishing vessels. We also used outputs from a high-resolution horizontal model, JCOPE-T 1ks, to examine the related phenomena.</w:t>
      </w:r>
    </w:p>
    <w:p w14:paraId="510ABC4F" w14:textId="77777777" w:rsidR="00C0455E" w:rsidRPr="00C0455E" w:rsidRDefault="00C0455E" w:rsidP="00C0455E">
      <w:pPr>
        <w:rPr>
          <w:rFonts w:ascii="Aptos" w:hAnsi="Aptos"/>
          <w:sz w:val="22"/>
        </w:rPr>
      </w:pPr>
    </w:p>
    <w:p w14:paraId="10BEC882" w14:textId="77777777" w:rsidR="00C0455E" w:rsidRPr="00C0455E" w:rsidRDefault="00C0455E" w:rsidP="00C0455E">
      <w:pPr>
        <w:rPr>
          <w:rFonts w:ascii="Aptos" w:hAnsi="Aptos"/>
          <w:sz w:val="22"/>
        </w:rPr>
      </w:pPr>
      <w:r w:rsidRPr="00C0455E">
        <w:rPr>
          <w:rFonts w:ascii="Aptos" w:hAnsi="Aptos"/>
          <w:sz w:val="22"/>
        </w:rPr>
        <w:t>Chemical tracers revealed that the surface water in this circulation is a mixture of water transported by the TWC and terrestrial water. It was also found that spring water very near the coast contains extremely high levels of silicate. The model outputs reproduced the spread of terrestrial water into the circulation following rainfall, and thin layers of low salinity at the surface were also confirmed by observations from fishing vessels.</w:t>
      </w:r>
    </w:p>
    <w:p w14:paraId="3BA7D259" w14:textId="77777777" w:rsidR="00C0455E" w:rsidRPr="00C0455E" w:rsidRDefault="00C0455E" w:rsidP="00D1293E">
      <w:pPr>
        <w:rPr>
          <w:rFonts w:ascii="Aptos" w:hAnsi="Aptos"/>
          <w:sz w:val="22"/>
        </w:rPr>
      </w:pPr>
    </w:p>
    <w:sectPr w:rsidR="00C0455E" w:rsidRPr="00C0455E"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HiraKakuProN-W3">
    <w:panose1 w:val="020B0300000000000000"/>
    <w:charset w:val="80"/>
    <w:family w:val="swiss"/>
    <w:pitch w:val="variable"/>
    <w:sig w:usb0="E00002FF" w:usb1="7AC7FFFF" w:usb2="00000012" w:usb3="00000000" w:csb0="0002000D"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0A6181"/>
    <w:rsid w:val="002324F1"/>
    <w:rsid w:val="002926C3"/>
    <w:rsid w:val="00351F6A"/>
    <w:rsid w:val="00461985"/>
    <w:rsid w:val="004C3E88"/>
    <w:rsid w:val="00510650"/>
    <w:rsid w:val="00514D78"/>
    <w:rsid w:val="00666AF1"/>
    <w:rsid w:val="00684C2C"/>
    <w:rsid w:val="006B43A3"/>
    <w:rsid w:val="006C6BD6"/>
    <w:rsid w:val="006F5DFA"/>
    <w:rsid w:val="00800C49"/>
    <w:rsid w:val="00904D71"/>
    <w:rsid w:val="00A836A5"/>
    <w:rsid w:val="00AC706E"/>
    <w:rsid w:val="00B3668A"/>
    <w:rsid w:val="00B376A9"/>
    <w:rsid w:val="00B507F6"/>
    <w:rsid w:val="00B605E2"/>
    <w:rsid w:val="00BF3361"/>
    <w:rsid w:val="00C0455E"/>
    <w:rsid w:val="00D1293E"/>
    <w:rsid w:val="00D246A5"/>
    <w:rsid w:val="00D9276E"/>
    <w:rsid w:val="00DA5506"/>
    <w:rsid w:val="00DC0D46"/>
    <w:rsid w:val="00DC542E"/>
    <w:rsid w:val="00DF5345"/>
    <w:rsid w:val="00E355E7"/>
    <w:rsid w:val="00FB38A7"/>
    <w:rsid w:val="00FF2BFC"/>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theme="minorBidi"/>
      <w:kern w:val="2"/>
      <w:sz w:val="21"/>
      <w:szCs w:val="22"/>
      <w:lang w:val="en-US"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1</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金子 仁</cp:lastModifiedBy>
  <cp:revision>22</cp:revision>
  <dcterms:created xsi:type="dcterms:W3CDTF">2024-12-05T11:08:00Z</dcterms:created>
  <dcterms:modified xsi:type="dcterms:W3CDTF">2026-04-06T03:04:00Z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