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B1498">
      <w:pPr>
        <w:jc w:val="center"/>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 xml:space="preserve">Quantifying </w:t>
      </w:r>
      <w:r>
        <w:rPr>
          <w:rFonts w:hint="default" w:ascii="Times New Roman" w:hAnsi="Times New Roman" w:cs="Times New Roman"/>
          <w:b/>
          <w:bCs/>
          <w:sz w:val="24"/>
          <w:szCs w:val="24"/>
        </w:rPr>
        <w:t>the Contribution of the RAMA Observing Network to Seasonal Predictions of Global Tropical Sea Surface Temperature Anomalies</w:t>
      </w:r>
    </w:p>
    <w:p w14:paraId="01B82511">
      <w:pPr>
        <w:jc w:val="center"/>
        <w:rPr>
          <w:rFonts w:hint="eastAsia" w:ascii="Arial" w:hAnsi="Arial"/>
          <w:sz w:val="22"/>
        </w:rPr>
      </w:pPr>
    </w:p>
    <w:p w14:paraId="5C91ADF2">
      <w:pPr>
        <w:jc w:val="center"/>
        <w:rPr>
          <w:rFonts w:hint="eastAsia" w:ascii="Arial" w:hAnsi="Arial" w:eastAsia="宋体"/>
          <w:sz w:val="22"/>
          <w:vertAlign w:val="superscript"/>
          <w:lang w:val="en-US" w:eastAsia="zh-CN"/>
        </w:rPr>
      </w:pPr>
      <w:r>
        <w:rPr>
          <w:rFonts w:hint="eastAsia" w:ascii="Arial" w:hAnsi="Arial"/>
          <w:sz w:val="22"/>
        </w:rPr>
        <w:t>Xiaojing Li</w:t>
      </w:r>
      <w:r>
        <w:rPr>
          <w:rFonts w:hint="eastAsia" w:ascii="Arial" w:hAnsi="Arial"/>
          <w:sz w:val="22"/>
          <w:vertAlign w:val="superscript"/>
        </w:rPr>
        <w:t>1</w:t>
      </w:r>
      <w:r>
        <w:rPr>
          <w:rFonts w:hint="eastAsia" w:ascii="Arial" w:hAnsi="Arial"/>
          <w:sz w:val="22"/>
        </w:rPr>
        <w:t>, Youmin Tang</w:t>
      </w:r>
      <w:r>
        <w:rPr>
          <w:rFonts w:hint="eastAsia" w:ascii="Arial" w:hAnsi="Arial"/>
          <w:sz w:val="22"/>
          <w:vertAlign w:val="superscript"/>
        </w:rPr>
        <w:t>2,3</w:t>
      </w:r>
      <w:r>
        <w:rPr>
          <w:rFonts w:hint="eastAsia" w:ascii="Arial" w:hAnsi="Arial"/>
          <w:sz w:val="22"/>
        </w:rPr>
        <w:t>, Lei Zhou</w:t>
      </w:r>
      <w:r>
        <w:rPr>
          <w:rFonts w:hint="eastAsia" w:ascii="Arial" w:hAnsi="Arial"/>
          <w:sz w:val="22"/>
          <w:vertAlign w:val="superscript"/>
          <w:lang w:val="en-US" w:eastAsia="zh-CN"/>
        </w:rPr>
        <w:t>4</w:t>
      </w:r>
    </w:p>
    <w:p w14:paraId="2B4BCEC7">
      <w:pPr>
        <w:jc w:val="center"/>
        <w:rPr>
          <w:rFonts w:ascii="Arial" w:hAnsi="Arial"/>
          <w:sz w:val="22"/>
          <w:vertAlign w:val="superscript"/>
        </w:rPr>
      </w:pPr>
    </w:p>
    <w:p w14:paraId="34030708">
      <w:pPr>
        <w:pStyle w:val="4"/>
        <w:spacing w:line="240" w:lineRule="auto"/>
        <w:jc w:val="center"/>
        <w:rPr>
          <w:sz w:val="22"/>
          <w:szCs w:val="22"/>
        </w:rPr>
      </w:pPr>
      <w:r>
        <w:rPr>
          <w:sz w:val="22"/>
          <w:szCs w:val="22"/>
          <w:vertAlign w:val="superscript"/>
        </w:rPr>
        <w:t>1</w:t>
      </w:r>
      <w:bookmarkStart w:id="0" w:name="_Hlk127727077"/>
      <w:r>
        <w:rPr>
          <w:sz w:val="22"/>
          <w:szCs w:val="22"/>
        </w:rPr>
        <w:t>State Key Laboratory of Satellite Ocean Environment Dynamics, Second Institute of Oceanography, Ministry of Natural Resources, Hangzhou, China</w:t>
      </w:r>
    </w:p>
    <w:bookmarkEnd w:id="0"/>
    <w:p w14:paraId="73318C94">
      <w:pPr>
        <w:pStyle w:val="4"/>
        <w:spacing w:line="240" w:lineRule="auto"/>
        <w:jc w:val="center"/>
        <w:rPr>
          <w:sz w:val="22"/>
          <w:szCs w:val="22"/>
        </w:rPr>
      </w:pPr>
      <w:r>
        <w:rPr>
          <w:sz w:val="22"/>
          <w:szCs w:val="22"/>
          <w:vertAlign w:val="superscript"/>
        </w:rPr>
        <w:t>2</w:t>
      </w:r>
      <w:r>
        <w:rPr>
          <w:sz w:val="22"/>
          <w:szCs w:val="22"/>
        </w:rPr>
        <w:t>Department of Geography, Earth and Environmental Sciences, University of Northern British Columbia, Canada</w:t>
      </w:r>
    </w:p>
    <w:p w14:paraId="4EEAFF54">
      <w:pPr>
        <w:pStyle w:val="4"/>
        <w:spacing w:line="240" w:lineRule="auto"/>
        <w:jc w:val="center"/>
        <w:rPr>
          <w:sz w:val="22"/>
          <w:szCs w:val="22"/>
        </w:rPr>
      </w:pPr>
      <w:r>
        <w:rPr>
          <w:rFonts w:eastAsia="宋体"/>
          <w:sz w:val="22"/>
          <w:szCs w:val="22"/>
          <w:vertAlign w:val="superscript"/>
          <w:lang w:eastAsia="zh-CN"/>
        </w:rPr>
        <w:t>3</w:t>
      </w:r>
      <w:r>
        <w:rPr>
          <w:sz w:val="22"/>
          <w:szCs w:val="22"/>
        </w:rPr>
        <w:t>College of Oceanography, Hohai University, Nanjing, China</w:t>
      </w:r>
    </w:p>
    <w:p w14:paraId="541D3744">
      <w:pPr>
        <w:pStyle w:val="4"/>
        <w:spacing w:line="240" w:lineRule="auto"/>
        <w:jc w:val="center"/>
        <w:rPr>
          <w:rFonts w:ascii="Arial" w:hAnsi="Arial" w:cs="Times New Roman"/>
          <w:sz w:val="22"/>
          <w:szCs w:val="22"/>
        </w:rPr>
      </w:pPr>
      <w:r>
        <w:rPr>
          <w:rFonts w:hint="eastAsia" w:eastAsia="宋体"/>
          <w:sz w:val="22"/>
          <w:szCs w:val="22"/>
          <w:vertAlign w:val="superscript"/>
          <w:lang w:val="en-US" w:eastAsia="zh-CN"/>
        </w:rPr>
        <w:t>4</w:t>
      </w:r>
      <w:r>
        <w:rPr>
          <w:rFonts w:hint="eastAsia" w:eastAsia="宋体"/>
          <w:sz w:val="22"/>
          <w:szCs w:val="22"/>
          <w:lang w:val="en-US" w:eastAsia="zh-CN"/>
        </w:rPr>
        <w:t>School</w:t>
      </w:r>
      <w:r>
        <w:rPr>
          <w:sz w:val="22"/>
          <w:szCs w:val="22"/>
        </w:rPr>
        <w:t xml:space="preserve"> of Oceanography, </w:t>
      </w:r>
      <w:r>
        <w:rPr>
          <w:rFonts w:hint="eastAsia" w:eastAsia="宋体"/>
          <w:sz w:val="22"/>
          <w:szCs w:val="22"/>
          <w:lang w:val="en-US" w:eastAsia="zh-CN"/>
        </w:rPr>
        <w:t>Shanghai Jiao Tong</w:t>
      </w:r>
      <w:r>
        <w:rPr>
          <w:sz w:val="22"/>
          <w:szCs w:val="22"/>
        </w:rPr>
        <w:t xml:space="preserve"> University, </w:t>
      </w:r>
      <w:r>
        <w:rPr>
          <w:rFonts w:hint="eastAsia" w:eastAsia="宋体"/>
          <w:sz w:val="22"/>
          <w:szCs w:val="22"/>
          <w:lang w:val="en-US" w:eastAsia="zh-CN"/>
        </w:rPr>
        <w:t>Shanghai</w:t>
      </w:r>
      <w:r>
        <w:rPr>
          <w:sz w:val="22"/>
          <w:szCs w:val="22"/>
        </w:rPr>
        <w:t>, China</w:t>
      </w:r>
    </w:p>
    <w:p w14:paraId="642921BF">
      <w:pPr>
        <w:rPr>
          <w:rFonts w:ascii="Arial" w:hAnsi="Arial" w:cs="Times New Roman"/>
          <w:sz w:val="22"/>
        </w:rPr>
      </w:pPr>
      <w:bookmarkStart w:id="1" w:name="_GoBack"/>
      <w:bookmarkEnd w:id="1"/>
    </w:p>
    <w:p w14:paraId="18852C74">
      <w:pPr>
        <w:rPr>
          <w:rFonts w:ascii="Arial" w:hAnsi="Arial"/>
          <w:b/>
          <w:bCs/>
          <w:sz w:val="22"/>
        </w:rPr>
      </w:pPr>
      <w:r>
        <w:rPr>
          <w:rFonts w:ascii="Arial" w:hAnsi="Arial"/>
          <w:b/>
          <w:bCs/>
          <w:sz w:val="22"/>
        </w:rPr>
        <w:t>Abstract</w:t>
      </w:r>
    </w:p>
    <w:p w14:paraId="1E8A76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The Research Moored Array for African-Asian-Australian Monsoon Analysis and Prediction</w:t>
      </w:r>
      <w:r>
        <w:rPr>
          <w:rFonts w:hint="eastAsia" w:cs="Times New Roman"/>
          <w:sz w:val="24"/>
          <w:szCs w:val="24"/>
          <w:lang w:val="en-US" w:eastAsia="zh-CN"/>
        </w:rPr>
        <w:t xml:space="preserve"> (</w:t>
      </w:r>
      <w:r>
        <w:rPr>
          <w:rFonts w:hint="default" w:ascii="Times New Roman" w:hAnsi="Times New Roman" w:cs="Times New Roman"/>
          <w:sz w:val="24"/>
          <w:szCs w:val="24"/>
        </w:rPr>
        <w:t>RAMA</w:t>
      </w:r>
      <w:r>
        <w:rPr>
          <w:rFonts w:hint="eastAsia" w:cs="Times New Roman"/>
          <w:sz w:val="24"/>
          <w:szCs w:val="24"/>
          <w:lang w:val="en-US" w:eastAsia="zh-CN"/>
        </w:rPr>
        <w:t>)</w:t>
      </w:r>
      <w:r>
        <w:rPr>
          <w:rFonts w:hint="default" w:ascii="Times New Roman" w:hAnsi="Times New Roman" w:cs="Times New Roman"/>
          <w:sz w:val="24"/>
          <w:szCs w:val="24"/>
        </w:rPr>
        <w:t xml:space="preserve"> observing network is a critical component of global ocean monitoring. However, operational disruptions have severely impacted not only the Indian Ocean but also broader ocean and climate research on a global scale. To date, the specific role and significance of RAMA in ocean and climate studies have not been quantitatively assessed.</w:t>
      </w:r>
    </w:p>
    <w:p w14:paraId="06B526A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Seasonal prediction of tropical sea surface temperature (TSST) anomalies—key drivers of global climate variability—remains constrained by initial condition uncertainties. In this context, the impact of RAMA’s degradation on seasonal predictability has become an urgent concern. This study systematically evaluates the influence of the RAMA observing network on seasonal predictions of TSST anomalies through targeted observation analysis. The results indicate that RAMA substantially reduces TSST prediction errors across the Indian, Pacific, and Atlantic Oceans.</w:t>
      </w:r>
    </w:p>
    <w:p w14:paraId="04E3525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Observational simulation system experiments further reveal that assimilating observations from all sites reduces the root mean square error of TSST in the Indian Ocean by approximately 20%. Notably, the Sumatra-Java upwelling region and the Arabian Sea emerge as key hubs contributing to cross-basin improvements. These findings provide a framework for optimizing future observing systems by prioritizing regions that offer the greatest cross-basin benefits.</w:t>
      </w:r>
    </w:p>
    <w:sectPr>
      <w:pgSz w:w="11906" w:h="16838"/>
      <w:pgMar w:top="1134"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ptos">
    <w:altName w:val="Aptos"/>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ZkYzA5Y2QxZWE1OTk3ZWRlYmU2YjgxOWQ0YmUzMzcifQ=="/>
  </w:docVars>
  <w:rsids>
    <w:rsidRoot w:val="00D246A5"/>
    <w:rsid w:val="0005299D"/>
    <w:rsid w:val="002926C3"/>
    <w:rsid w:val="00510650"/>
    <w:rsid w:val="00514D78"/>
    <w:rsid w:val="00666AF1"/>
    <w:rsid w:val="006B43A3"/>
    <w:rsid w:val="006C6BD6"/>
    <w:rsid w:val="00800C49"/>
    <w:rsid w:val="00904D71"/>
    <w:rsid w:val="00A836A5"/>
    <w:rsid w:val="00B376A9"/>
    <w:rsid w:val="00B507F6"/>
    <w:rsid w:val="00B605E2"/>
    <w:rsid w:val="00BF3361"/>
    <w:rsid w:val="00D1293E"/>
    <w:rsid w:val="00D246A5"/>
    <w:rsid w:val="00D9276E"/>
    <w:rsid w:val="00DA5506"/>
    <w:rsid w:val="00DC0D46"/>
    <w:rsid w:val="00DC542E"/>
    <w:rsid w:val="00DF5345"/>
    <w:rsid w:val="00E355E7"/>
    <w:rsid w:val="00FB38A7"/>
    <w:rsid w:val="039F78D2"/>
    <w:rsid w:val="1708734D"/>
    <w:rsid w:val="19B60BB4"/>
    <w:rsid w:val="1A9C424D"/>
    <w:rsid w:val="21C37F9A"/>
    <w:rsid w:val="2581351A"/>
    <w:rsid w:val="288F4EA2"/>
    <w:rsid w:val="2B696DB8"/>
    <w:rsid w:val="32FE3480"/>
    <w:rsid w:val="33125F78"/>
    <w:rsid w:val="38A95053"/>
    <w:rsid w:val="3E691DE9"/>
    <w:rsid w:val="3F831AB3"/>
    <w:rsid w:val="431E351D"/>
    <w:rsid w:val="473D06C6"/>
    <w:rsid w:val="5CAC604F"/>
    <w:rsid w:val="5E3A01F4"/>
    <w:rsid w:val="630F26B0"/>
    <w:rsid w:val="63DF64BA"/>
    <w:rsid w:val="6DC2558E"/>
    <w:rsid w:val="76B56913"/>
    <w:rsid w:val="78EC2E1F"/>
    <w:rsid w:val="7CD566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paragraph" w:customStyle="1" w:styleId="4">
    <w:name w:val="Affiliation"/>
    <w:basedOn w:val="5"/>
    <w:qFormat/>
    <w:uiPriority w:val="0"/>
    <w:pPr>
      <w:ind w:firstLine="0"/>
    </w:pPr>
  </w:style>
  <w:style w:type="paragraph" w:customStyle="1" w:styleId="5">
    <w:name w:val="Text"/>
    <w:basedOn w:val="1"/>
    <w:qFormat/>
    <w:uiPriority w:val="0"/>
    <w:pPr>
      <w:spacing w:before="120"/>
      <w:ind w:firstLine="720"/>
    </w:pPr>
    <w:rPr>
      <w:rFonts w:eastAsia="Times New Roman"/>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226</Words>
  <Characters>1295</Characters>
  <Lines>10</Lines>
  <Paragraphs>3</Paragraphs>
  <TotalTime>59</TotalTime>
  <ScaleCrop>false</ScaleCrop>
  <LinksUpToDate>false</LinksUpToDate>
  <CharactersWithSpaces>1515</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2024-12-05T11:08:00Z</dcterms:created>
  <dc:creator>张 苗茵</dc:creator>
  <cp:lastModifiedBy>XLi</cp:lastModifiedBy>
  <dcterms:modified xsi:type="dcterms:W3CDTF">2026-03-23T04:33:58Z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31DF4B301F96420485D3BBD7451342B9_13</vt:lpwstr>
  </property>
  <property fmtid="{D5CDD505-2E9C-101B-9397-08002B2CF9AE}" pid="4" name="KSOTemplateDocerSaveRecord">
    <vt:lpwstr>eyJoZGlkIjoiMGEwMGZkZmIwZGMzZDY1ZTAzODg3OGEwYzRjYTczZDQiLCJ1c2VySWQiOiIxNDM1OTU3NDM2In0=</vt:lpwstr>
  </property>
</Properties>
</file>