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left"/>
        <w:rPr>
          <w:rFonts w:ascii="Arial" w:cs="Arial" w:eastAsia="Arial" w:hAnsi="Arial"/>
        </w:rPr>
      </w:pPr>
      <w:r w:rsidDel="00000000" w:rsidR="00000000" w:rsidRPr="00000000">
        <w:rPr>
          <w:rFonts w:ascii="Arial" w:cs="Arial" w:eastAsia="Arial" w:hAnsi="Arial"/>
          <w:b w:val="1"/>
          <w:bCs w:val="1"/>
          <w:rtl w:val="0"/>
        </w:rPr>
        <w:t xml:space="preserve">Abstract title: </w:t>
      </w:r>
      <w:r w:rsidDel="00000000" w:rsidR="00000000" w:rsidRPr="00000000">
        <w:rPr>
          <w:rFonts w:ascii="Arial" w:cs="Arial" w:eastAsia="Arial" w:hAnsi="Arial"/>
          <w:rtl w:val="0"/>
        </w:rPr>
        <w:t xml:space="preserve">Recent Results from the Tropical Cyclone Exemplar Pilot Studies.</w:t>
      </w:r>
    </w:p>
    <w:p w:rsidR="00000000" w:rsidDel="00000000" w:rsidP="00000000" w:rsidRDefault="00000000" w:rsidRPr="00000000" w14:paraId="00000002">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3">
      <w:pPr>
        <w:ind w:left="0" w:firstLine="0"/>
        <w:rPr>
          <w:rFonts w:ascii="Arial" w:cs="Arial" w:eastAsia="Arial" w:hAnsi="Arial"/>
        </w:rPr>
      </w:pPr>
      <w:r w:rsidDel="00000000" w:rsidR="00000000" w:rsidRPr="00000000">
        <w:rPr>
          <w:rFonts w:ascii="Arial" w:cs="Arial" w:eastAsia="Arial" w:hAnsi="Arial"/>
          <w:b w:val="1"/>
          <w:bCs w:val="1"/>
          <w:rtl w:val="0"/>
        </w:rPr>
        <w:t xml:space="preserve">Presenting author: </w:t>
      </w:r>
      <w:r w:rsidDel="00000000" w:rsidR="00000000" w:rsidRPr="00000000">
        <w:rPr>
          <w:rFonts w:ascii="Arial" w:cs="Arial" w:eastAsia="Arial" w:hAnsi="Arial"/>
          <w:rtl w:val="0"/>
        </w:rPr>
        <w:t xml:space="preserve">Scott Glenn/Rutgers University </w:t>
      </w:r>
    </w:p>
    <w:p w:rsidR="00000000" w:rsidDel="00000000" w:rsidP="00000000" w:rsidRDefault="00000000" w:rsidRPr="00000000" w14:paraId="00000004">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5">
      <w:pPr>
        <w:ind w:left="0" w:firstLine="0"/>
        <w:rPr>
          <w:rFonts w:ascii="Arial" w:cs="Arial" w:eastAsia="Arial" w:hAnsi="Arial"/>
        </w:rPr>
      </w:pPr>
      <w:r w:rsidDel="00000000" w:rsidR="00000000" w:rsidRPr="00000000">
        <w:rPr>
          <w:rFonts w:ascii="Arial" w:cs="Arial" w:eastAsia="Arial" w:hAnsi="Arial"/>
          <w:b w:val="1"/>
          <w:bCs w:val="1"/>
          <w:rtl w:val="0"/>
        </w:rPr>
        <w:t xml:space="preserve">Co-authors: </w:t>
      </w:r>
      <w:r w:rsidDel="00000000" w:rsidR="00000000" w:rsidRPr="00000000">
        <w:rPr>
          <w:rFonts w:ascii="Arial" w:cs="Arial" w:eastAsia="Arial" w:hAnsi="Arial"/>
          <w:rtl w:val="0"/>
        </w:rPr>
        <w:t xml:space="preserve">Cheyenne Stienbarger/NOAA Global Ocean Monitoring and Observing Program, Hyoun-Woo Kang/KIOST, Lev Looney/NOAA AOML-CIMAS, Shoude Guan/Ocean University of China, I-I Lin/National Taiwan University, Bipendra Prakash/SPC-PIGOOS, Kosuke Ito/Kyoto University, Hyun-Sook Kim/NOAA AOML, Matthieu Le Henaff/NOAA AOML, Travis Miles/Rutgers University, Joe Gradone/Rutgers University, David Farrell/CIMH, Doug Wilson/UVI, Lorna Inniss/IOCARIBE</w:t>
      </w:r>
    </w:p>
    <w:p w:rsidR="00000000" w:rsidDel="00000000" w:rsidP="00000000" w:rsidRDefault="00000000" w:rsidRPr="00000000" w14:paraId="00000006">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7">
      <w:pPr>
        <w:ind w:left="0" w:firstLine="0"/>
        <w:rPr>
          <w:rFonts w:ascii="Arial" w:cs="Arial" w:eastAsia="Arial" w:hAnsi="Arial"/>
        </w:rPr>
      </w:pPr>
      <w:r w:rsidDel="00000000" w:rsidR="00000000" w:rsidRPr="00000000">
        <w:rPr>
          <w:rFonts w:ascii="Arial" w:cs="Arial" w:eastAsia="Arial" w:hAnsi="Arial"/>
          <w:b w:val="1"/>
          <w:bCs w:val="1"/>
          <w:rtl w:val="0"/>
        </w:rPr>
        <w:t xml:space="preserve">Theme: </w:t>
      </w:r>
      <w:r w:rsidDel="00000000" w:rsidR="00000000" w:rsidRPr="00000000">
        <w:rPr>
          <w:rFonts w:ascii="Arial" w:cs="Arial" w:eastAsia="Arial" w:hAnsi="Arial"/>
          <w:rtl w:val="0"/>
        </w:rPr>
        <w:t xml:space="preserve">3.4 Co-designing the ocean observing system for better understanding of tropical cyclones and improving their prediction.</w:t>
      </w:r>
    </w:p>
    <w:p w:rsidR="00000000" w:rsidDel="00000000" w:rsidP="00000000" w:rsidRDefault="00000000" w:rsidRPr="00000000" w14:paraId="00000008">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9">
      <w:pPr>
        <w:ind w:left="0" w:firstLine="0"/>
        <w:rPr>
          <w:rFonts w:ascii="Arial" w:cs="Arial" w:eastAsia="Arial" w:hAnsi="Arial"/>
        </w:rPr>
      </w:pPr>
      <w:r w:rsidDel="00000000" w:rsidR="00000000" w:rsidRPr="00000000">
        <w:rPr>
          <w:rFonts w:ascii="Arial" w:cs="Arial" w:eastAsia="Arial" w:hAnsi="Arial"/>
          <w:b w:val="1"/>
          <w:bCs w:val="1"/>
          <w:rtl w:val="0"/>
        </w:rPr>
        <w:t xml:space="preserve">Abstract text:</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296 / 300 words maximum </w:t>
        <w:br w:type="textWrapping"/>
      </w:r>
    </w:p>
    <w:p w:rsidR="00000000" w:rsidDel="00000000" w:rsidP="00000000" w:rsidRDefault="00000000" w:rsidRPr="00000000" w14:paraId="0000000A">
      <w:pPr>
        <w:ind w:left="0" w:firstLine="0"/>
        <w:rPr>
          <w:rFonts w:ascii="Arial" w:cs="Arial" w:eastAsia="Arial" w:hAnsi="Arial"/>
        </w:rPr>
      </w:pPr>
      <w:r w:rsidDel="00000000" w:rsidR="00000000" w:rsidRPr="00000000">
        <w:rPr>
          <w:rFonts w:ascii="Arial" w:cs="Arial" w:eastAsia="Arial" w:hAnsi="Arial"/>
          <w:rtl w:val="0"/>
        </w:rPr>
        <w:t xml:space="preserve">The Global Ocean Observing System (GOOS) Ocean Observing Co-Design Programme continues to support five application-oriented Exemplars since 2022: Tropical Cyclones (TC), Boundary Currents (BC), Marine Heat Waves (MHW), Coastal Storm Surge, and Ocean Carbon.  Each Exemplar has identified pilot studies to demonstrate the value of GOOS ocean observing networks to grow support for an expanded system.</w:t>
      </w:r>
    </w:p>
    <w:p w:rsidR="00000000" w:rsidDel="00000000" w:rsidP="00000000" w:rsidRDefault="00000000" w:rsidRPr="00000000" w14:paraId="0000000B">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C">
      <w:pPr>
        <w:ind w:left="0" w:firstLine="0"/>
        <w:rPr>
          <w:rFonts w:ascii="Arial" w:cs="Arial" w:eastAsia="Arial" w:hAnsi="Arial"/>
        </w:rPr>
      </w:pPr>
      <w:r w:rsidDel="00000000" w:rsidR="00000000" w:rsidRPr="00000000">
        <w:rPr>
          <w:rFonts w:ascii="Arial" w:cs="Arial" w:eastAsia="Arial" w:hAnsi="Arial"/>
          <w:rtl w:val="0"/>
        </w:rPr>
        <w:t xml:space="preserve">The Tropical Cyclone has identified five globally-distributed pilot study regions:</w:t>
      </w:r>
    </w:p>
    <w:p w:rsidR="00000000" w:rsidDel="00000000" w:rsidP="00000000" w:rsidRDefault="00000000" w:rsidRPr="00000000" w14:paraId="0000000D">
      <w:pPr>
        <w:numPr>
          <w:ilvl w:val="0"/>
          <w:numId w:val="1"/>
        </w:numPr>
        <w:rPr>
          <w:rFonts w:ascii="Arial" w:cs="Arial" w:eastAsia="Arial" w:hAnsi="Arial"/>
        </w:rPr>
      </w:pPr>
      <w:r w:rsidDel="00000000" w:rsidR="00000000" w:rsidRPr="00000000">
        <w:rPr>
          <w:rFonts w:ascii="Arial" w:cs="Arial" w:eastAsia="Arial" w:hAnsi="Arial"/>
          <w:rtl w:val="0"/>
        </w:rPr>
        <w:t xml:space="preserve">Tropical Americas &amp; Caribbean (TAC) – most economically damaging TCs.</w:t>
      </w:r>
    </w:p>
    <w:p w:rsidR="00000000" w:rsidDel="00000000" w:rsidP="00000000" w:rsidRDefault="00000000" w:rsidRPr="00000000" w14:paraId="0000000E">
      <w:pPr>
        <w:numPr>
          <w:ilvl w:val="0"/>
          <w:numId w:val="1"/>
        </w:numPr>
        <w:rPr>
          <w:rFonts w:ascii="Arial" w:cs="Arial" w:eastAsia="Arial" w:hAnsi="Arial"/>
        </w:rPr>
      </w:pPr>
      <w:r w:rsidDel="00000000" w:rsidR="00000000" w:rsidRPr="00000000">
        <w:rPr>
          <w:rFonts w:ascii="Arial" w:cs="Arial" w:eastAsia="Arial" w:hAnsi="Arial"/>
          <w:rtl w:val="0"/>
        </w:rPr>
        <w:t xml:space="preserve">Northwest Pacific Ocean &amp; Marginal Seas (NPOMS) – most intense TCs.</w:t>
      </w:r>
    </w:p>
    <w:p w:rsidR="00000000" w:rsidDel="00000000" w:rsidP="00000000" w:rsidRDefault="00000000" w:rsidRPr="00000000" w14:paraId="0000000F">
      <w:pPr>
        <w:numPr>
          <w:ilvl w:val="0"/>
          <w:numId w:val="1"/>
        </w:numPr>
        <w:rPr>
          <w:rFonts w:ascii="Arial" w:cs="Arial" w:eastAsia="Arial" w:hAnsi="Arial"/>
        </w:rPr>
      </w:pPr>
      <w:r w:rsidDel="00000000" w:rsidR="00000000" w:rsidRPr="00000000">
        <w:rPr>
          <w:rFonts w:ascii="Arial" w:cs="Arial" w:eastAsia="Arial" w:hAnsi="Arial"/>
          <w:rtl w:val="0"/>
        </w:rPr>
        <w:t xml:space="preserve">North East Indian Ocean (Bay of Bengal) – most deadly TCs.</w:t>
      </w:r>
    </w:p>
    <w:p w:rsidR="00000000" w:rsidDel="00000000" w:rsidP="00000000" w:rsidRDefault="00000000" w:rsidRPr="00000000" w14:paraId="00000010">
      <w:pPr>
        <w:numPr>
          <w:ilvl w:val="0"/>
          <w:numId w:val="1"/>
        </w:numPr>
        <w:rPr>
          <w:rFonts w:ascii="Arial" w:cs="Arial" w:eastAsia="Arial" w:hAnsi="Arial"/>
        </w:rPr>
      </w:pPr>
      <w:r w:rsidDel="00000000" w:rsidR="00000000" w:rsidRPr="00000000">
        <w:rPr>
          <w:rFonts w:ascii="Arial" w:cs="Arial" w:eastAsia="Arial" w:hAnsi="Arial"/>
          <w:rtl w:val="0"/>
        </w:rPr>
        <w:t xml:space="preserve">South West Indian Ocean (SWIO) – co-located BCs, MHWs &amp; TCs that combine to impact subsistence fisheries for vulnerable coastal populations.</w:t>
      </w:r>
    </w:p>
    <w:p w:rsidR="00000000" w:rsidDel="00000000" w:rsidP="00000000" w:rsidRDefault="00000000" w:rsidRPr="00000000" w14:paraId="00000011">
      <w:pPr>
        <w:numPr>
          <w:ilvl w:val="0"/>
          <w:numId w:val="1"/>
        </w:numPr>
        <w:rPr>
          <w:rFonts w:ascii="Arial" w:cs="Arial" w:eastAsia="Arial" w:hAnsi="Arial"/>
        </w:rPr>
      </w:pPr>
      <w:r w:rsidDel="00000000" w:rsidR="00000000" w:rsidRPr="00000000">
        <w:rPr>
          <w:rFonts w:ascii="Arial" w:cs="Arial" w:eastAsia="Arial" w:hAnsi="Arial"/>
          <w:rtl w:val="0"/>
        </w:rPr>
        <w:t xml:space="preserve">The South Pacific Islands (SPI)  – where vast open ocean distances between small island states challenge efforts to expand ocean observing.</w:t>
      </w:r>
    </w:p>
    <w:p w:rsidR="00000000" w:rsidDel="00000000" w:rsidP="00000000" w:rsidRDefault="00000000" w:rsidRPr="00000000" w14:paraId="00000012">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3">
      <w:pPr>
        <w:ind w:left="0" w:firstLine="0"/>
        <w:rPr>
          <w:rFonts w:ascii="Arial" w:cs="Arial" w:eastAsia="Arial" w:hAnsi="Arial"/>
        </w:rPr>
      </w:pPr>
      <w:r w:rsidDel="00000000" w:rsidR="00000000" w:rsidRPr="00000000">
        <w:rPr>
          <w:rFonts w:ascii="Arial" w:cs="Arial" w:eastAsia="Arial" w:hAnsi="Arial"/>
          <w:rtl w:val="0"/>
        </w:rPr>
        <w:t xml:space="preserve">We focus here on two pilot study regions, the TAC and the SPI, as both are engaged in broad collaborations to increase regional ocean observing capacity for subsurface observations ahead of the storms. In both cases, the goal is improving the representation of essential ocean features impacting TC intensity in the coupled atmosphere-ocean forecast models. The TAC pilot study leverages the established GOOS OceanGlider network, and the SPI pilot study leverages the emerging GOOS Fishing Vessel Observing Network (FVON), so that both regions can augment the mature GOOS global Argo network, expanding the number of subsurface ocean profiles available for assimilation. Here we provide examples of the demonstrated value of the Hurricane Gliders in the TAC region, as well as the initial season of forecast model-data comparisons with FVON in the SPI region.  Both examples leverage ongoing collaborations between the GOOS Regional Alliances (IOCARIBE-GOOS and PI-GOOS) and the WMO Regional Associations (RA IV &amp; V) as a path forward to provide requirements for sustained observations.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arlow Semi Condensed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arl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4"/>
        <w:szCs w:val="24"/>
        <w:lang w:val="en"/>
      </w:rPr>
    </w:rPrDefault>
    <w:pPrDefault>
      <w:pPr>
        <w:spacing w:line="276" w:lineRule="auto"/>
        <w:ind w:left="720" w:hanging="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Barlow" w:cs="Barlow" w:eastAsia="Barlow" w:hAnsi="Barlow"/>
      <w:b w:val="1"/>
      <w:bCs w:val="1"/>
      <w:sz w:val="40"/>
      <w:szCs w:val="40"/>
    </w:rPr>
  </w:style>
  <w:style w:type="paragraph" w:styleId="Heading2">
    <w:name w:val="heading 2"/>
    <w:basedOn w:val="Normal"/>
    <w:next w:val="Normal"/>
    <w:pPr>
      <w:keepNext w:val="1"/>
      <w:keepLines w:val="1"/>
    </w:pPr>
    <w:rPr>
      <w:rFonts w:ascii="Barlow Semi Condensed Medium" w:cs="Barlow Semi Condensed Medium" w:eastAsia="Barlow Semi Condensed Medium" w:hAnsi="Barlow Semi Condensed Medium"/>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arlowSemiCondensedMedium-regular.ttf"/><Relationship Id="rId2" Type="http://schemas.openxmlformats.org/officeDocument/2006/relationships/font" Target="fonts/BarlowSemiCondensedMedium-bold.ttf"/><Relationship Id="rId3" Type="http://schemas.openxmlformats.org/officeDocument/2006/relationships/font" Target="fonts/BarlowSemiCondensedMedium-italic.ttf"/><Relationship Id="rId4" Type="http://schemas.openxmlformats.org/officeDocument/2006/relationships/font" Target="fonts/BarlowSemiCondensedMedium-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Barlow-regular.ttf"/><Relationship Id="rId6" Type="http://schemas.openxmlformats.org/officeDocument/2006/relationships/font" Target="fonts/Barlow-bold.ttf"/><Relationship Id="rId7" Type="http://schemas.openxmlformats.org/officeDocument/2006/relationships/font" Target="fonts/Barlow-italic.ttf"/><Relationship Id="rId8" Type="http://schemas.openxmlformats.org/officeDocument/2006/relationships/font" Target="fonts/Barl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