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821463" w14:textId="4949D309" w:rsidR="00D1293E" w:rsidRPr="00FB38A7" w:rsidRDefault="00A26C81" w:rsidP="00D1293E">
      <w:pPr>
        <w:jc w:val="center"/>
        <w:rPr>
          <w:rFonts w:ascii="Aptos" w:hAnsi="Aptos"/>
          <w:b/>
          <w:bCs/>
          <w:sz w:val="24"/>
          <w:szCs w:val="28"/>
        </w:rPr>
      </w:pPr>
      <w:r w:rsidRPr="00A26C81">
        <w:rPr>
          <w:rFonts w:ascii="Aptos" w:hAnsi="Aptos"/>
          <w:b/>
          <w:bCs/>
          <w:sz w:val="24"/>
          <w:szCs w:val="28"/>
        </w:rPr>
        <w:t>Evaluation of Operational ASV Observation Strategy in Tropical Cyclone Strong-Wind Regions Using OSSEs</w:t>
      </w:r>
    </w:p>
    <w:p w14:paraId="072B1498" w14:textId="77777777" w:rsidR="00D1293E" w:rsidRPr="00FB38A7" w:rsidRDefault="00D1293E" w:rsidP="00D1293E">
      <w:pPr>
        <w:jc w:val="center"/>
        <w:rPr>
          <w:rFonts w:ascii="Aptos" w:hAnsi="Aptos"/>
          <w:b/>
          <w:bCs/>
          <w:sz w:val="22"/>
        </w:rPr>
      </w:pPr>
    </w:p>
    <w:p w14:paraId="41EE2D27" w14:textId="4D4D8117" w:rsidR="000615D9" w:rsidRPr="000615D9" w:rsidRDefault="000615D9" w:rsidP="000615D9">
      <w:pPr>
        <w:jc w:val="center"/>
        <w:rPr>
          <w:rFonts w:ascii="Aptos" w:hAnsi="Aptos"/>
          <w:sz w:val="22"/>
        </w:rPr>
      </w:pPr>
      <w:r w:rsidRPr="000615D9">
        <w:rPr>
          <w:rFonts w:ascii="Aptos" w:hAnsi="Aptos"/>
          <w:sz w:val="22"/>
        </w:rPr>
        <w:t>Naoko Kosaka</w:t>
      </w:r>
      <w:r w:rsidR="00055C0C" w:rsidRPr="00055C0C">
        <w:rPr>
          <w:rFonts w:ascii="Aptos" w:eastAsia="游明朝" w:hAnsi="Aptos" w:hint="eastAsia"/>
          <w:sz w:val="22"/>
          <w:vertAlign w:val="superscript"/>
          <w:lang w:eastAsia="ja-JP"/>
        </w:rPr>
        <w:t>1,2</w:t>
      </w:r>
      <w:r w:rsidRPr="000615D9">
        <w:rPr>
          <w:rFonts w:ascii="Aptos" w:hAnsi="Aptos"/>
          <w:sz w:val="22"/>
        </w:rPr>
        <w:t>, Kosuke Ito</w:t>
      </w:r>
      <w:r w:rsidR="00764434" w:rsidRPr="00764434">
        <w:rPr>
          <w:rFonts w:ascii="Aptos" w:eastAsia="游明朝" w:hAnsi="Aptos" w:hint="eastAsia"/>
          <w:sz w:val="22"/>
          <w:vertAlign w:val="superscript"/>
          <w:lang w:eastAsia="ja-JP"/>
        </w:rPr>
        <w:t>2,3</w:t>
      </w:r>
      <w:r w:rsidRPr="000615D9">
        <w:rPr>
          <w:rFonts w:ascii="Aptos" w:hAnsi="Aptos"/>
          <w:sz w:val="22"/>
        </w:rPr>
        <w:t>, Yusuke Umemiya</w:t>
      </w:r>
      <w:r w:rsidR="00764434" w:rsidRPr="00764434">
        <w:rPr>
          <w:rFonts w:ascii="Aptos" w:eastAsia="游明朝" w:hAnsi="Aptos" w:hint="eastAsia"/>
          <w:sz w:val="22"/>
          <w:vertAlign w:val="superscript"/>
          <w:lang w:eastAsia="ja-JP"/>
        </w:rPr>
        <w:t>1</w:t>
      </w:r>
      <w:r w:rsidRPr="000615D9">
        <w:rPr>
          <w:rFonts w:ascii="Aptos" w:hAnsi="Aptos"/>
          <w:sz w:val="22"/>
        </w:rPr>
        <w:t>, Tsuneko Kura</w:t>
      </w:r>
      <w:r w:rsidR="00764434" w:rsidRPr="00764434">
        <w:rPr>
          <w:rFonts w:ascii="Aptos" w:eastAsia="游明朝" w:hAnsi="Aptos" w:hint="eastAsia"/>
          <w:sz w:val="22"/>
          <w:vertAlign w:val="superscript"/>
          <w:lang w:eastAsia="ja-JP"/>
        </w:rPr>
        <w:t>1</w:t>
      </w:r>
      <w:r w:rsidRPr="000615D9">
        <w:rPr>
          <w:rFonts w:ascii="Aptos" w:hAnsi="Aptos"/>
          <w:sz w:val="22"/>
        </w:rPr>
        <w:t>, Toshiyuki Bandai</w:t>
      </w:r>
      <w:r w:rsidR="00764434" w:rsidRPr="00764434">
        <w:rPr>
          <w:rFonts w:ascii="Aptos" w:eastAsia="游明朝" w:hAnsi="Aptos" w:hint="eastAsia"/>
          <w:sz w:val="22"/>
          <w:vertAlign w:val="superscript"/>
          <w:lang w:eastAsia="ja-JP"/>
        </w:rPr>
        <w:t>1</w:t>
      </w:r>
      <w:r w:rsidRPr="000615D9">
        <w:rPr>
          <w:rFonts w:ascii="Aptos" w:hAnsi="Aptos"/>
          <w:sz w:val="22"/>
        </w:rPr>
        <w:t>,</w:t>
      </w:r>
    </w:p>
    <w:p w14:paraId="634CFE11" w14:textId="77777777" w:rsidR="00893CCD" w:rsidRDefault="000615D9" w:rsidP="000615D9">
      <w:pPr>
        <w:jc w:val="center"/>
        <w:rPr>
          <w:rFonts w:ascii="Aptos" w:eastAsia="游明朝" w:hAnsi="Aptos"/>
          <w:sz w:val="22"/>
          <w:lang w:eastAsia="ja-JP"/>
        </w:rPr>
      </w:pPr>
      <w:r w:rsidRPr="000615D9">
        <w:rPr>
          <w:rFonts w:ascii="Aptos" w:hAnsi="Aptos"/>
          <w:sz w:val="22"/>
        </w:rPr>
        <w:t>Gota Yamasaki</w:t>
      </w:r>
      <w:r w:rsidR="00764434" w:rsidRPr="00764434">
        <w:rPr>
          <w:rFonts w:ascii="Aptos" w:eastAsia="游明朝" w:hAnsi="Aptos" w:hint="eastAsia"/>
          <w:sz w:val="22"/>
          <w:vertAlign w:val="superscript"/>
          <w:lang w:eastAsia="ja-JP"/>
        </w:rPr>
        <w:t>1</w:t>
      </w:r>
      <w:r w:rsidRPr="000615D9">
        <w:rPr>
          <w:rFonts w:ascii="Aptos" w:hAnsi="Aptos"/>
          <w:sz w:val="22"/>
        </w:rPr>
        <w:t>, Hiroshi Matsubara</w:t>
      </w:r>
      <w:r w:rsidR="00CF1A66" w:rsidRPr="00764434">
        <w:rPr>
          <w:rFonts w:ascii="Aptos" w:eastAsia="游明朝" w:hAnsi="Aptos" w:hint="eastAsia"/>
          <w:sz w:val="22"/>
          <w:vertAlign w:val="superscript"/>
          <w:lang w:eastAsia="ja-JP"/>
        </w:rPr>
        <w:t>1</w:t>
      </w:r>
      <w:r w:rsidRPr="000615D9">
        <w:rPr>
          <w:rFonts w:ascii="Aptos" w:hAnsi="Aptos"/>
          <w:sz w:val="22"/>
        </w:rPr>
        <w:t>, Satoshi Mitarai</w:t>
      </w:r>
      <w:r w:rsidR="00CF1A66" w:rsidRPr="00CF1A66">
        <w:rPr>
          <w:rFonts w:ascii="Aptos" w:eastAsia="游明朝" w:hAnsi="Aptos" w:hint="eastAsia"/>
          <w:sz w:val="22"/>
          <w:vertAlign w:val="superscript"/>
          <w:lang w:eastAsia="ja-JP"/>
        </w:rPr>
        <w:t>2,</w:t>
      </w:r>
      <w:r w:rsidR="00CF1A66">
        <w:rPr>
          <w:rFonts w:ascii="Aptos" w:eastAsia="游明朝" w:hAnsi="Aptos" w:hint="eastAsia"/>
          <w:sz w:val="22"/>
          <w:vertAlign w:val="superscript"/>
          <w:lang w:eastAsia="ja-JP"/>
        </w:rPr>
        <w:t>4</w:t>
      </w:r>
      <w:r w:rsidRPr="000615D9">
        <w:rPr>
          <w:rFonts w:ascii="Aptos" w:hAnsi="Aptos"/>
          <w:sz w:val="22"/>
        </w:rPr>
        <w:t>, Daiki Suzuki</w:t>
      </w:r>
      <w:r w:rsidR="00CF1A66" w:rsidRPr="00CF1A66">
        <w:rPr>
          <w:rFonts w:ascii="Aptos" w:eastAsia="游明朝" w:hAnsi="Aptos" w:cs="Aptos" w:hint="eastAsia"/>
          <w:sz w:val="22"/>
          <w:vertAlign w:val="superscript"/>
          <w:lang w:eastAsia="ja-JP"/>
        </w:rPr>
        <w:t>2</w:t>
      </w:r>
      <w:r w:rsidRPr="000615D9">
        <w:rPr>
          <w:rFonts w:ascii="Aptos" w:hAnsi="Aptos"/>
          <w:sz w:val="22"/>
        </w:rPr>
        <w:t xml:space="preserve">, </w:t>
      </w:r>
    </w:p>
    <w:p w14:paraId="69470217" w14:textId="347ABA62" w:rsidR="000615D9" w:rsidRPr="000615D9" w:rsidRDefault="000615D9" w:rsidP="000615D9">
      <w:pPr>
        <w:jc w:val="center"/>
        <w:rPr>
          <w:rFonts w:ascii="Aptos" w:hAnsi="Aptos"/>
          <w:sz w:val="22"/>
        </w:rPr>
      </w:pPr>
      <w:r w:rsidRPr="000615D9">
        <w:rPr>
          <w:rFonts w:ascii="Aptos" w:hAnsi="Aptos"/>
          <w:sz w:val="22"/>
        </w:rPr>
        <w:t>Hironori Fudeyasu</w:t>
      </w:r>
      <w:r w:rsidR="00CF1A66" w:rsidRPr="00CF1A66">
        <w:rPr>
          <w:rFonts w:ascii="Aptos" w:eastAsia="游明朝" w:hAnsi="Aptos" w:cs="Aptos" w:hint="eastAsia"/>
          <w:sz w:val="22"/>
          <w:vertAlign w:val="superscript"/>
          <w:lang w:eastAsia="ja-JP"/>
        </w:rPr>
        <w:t>2</w:t>
      </w:r>
    </w:p>
    <w:p w14:paraId="64280CC9" w14:textId="77777777" w:rsidR="000615D9" w:rsidRPr="00CF1A66" w:rsidRDefault="000615D9" w:rsidP="000615D9">
      <w:pPr>
        <w:jc w:val="center"/>
        <w:rPr>
          <w:rFonts w:ascii="Aptos" w:hAnsi="Aptos"/>
          <w:sz w:val="22"/>
        </w:rPr>
      </w:pPr>
    </w:p>
    <w:p w14:paraId="6F7F7274" w14:textId="35D987A7" w:rsidR="000615D9" w:rsidRPr="000615D9" w:rsidRDefault="000615D9" w:rsidP="000615D9">
      <w:pPr>
        <w:jc w:val="center"/>
        <w:rPr>
          <w:rFonts w:ascii="Aptos" w:eastAsia="游明朝" w:hAnsi="Aptos"/>
          <w:sz w:val="22"/>
          <w:lang w:eastAsia="ja-JP"/>
        </w:rPr>
      </w:pPr>
      <w:r w:rsidRPr="000615D9">
        <w:rPr>
          <w:rFonts w:ascii="Aptos" w:hAnsi="Aptos" w:hint="eastAsia"/>
          <w:sz w:val="22"/>
        </w:rPr>
        <w:t>¹</w:t>
      </w:r>
      <w:r w:rsidR="00D77BA8">
        <w:rPr>
          <w:rFonts w:ascii="Aptos" w:eastAsia="游明朝" w:hAnsi="Aptos" w:hint="eastAsia"/>
          <w:sz w:val="22"/>
          <w:lang w:eastAsia="ja-JP"/>
        </w:rPr>
        <w:t>Space Environment and Energy Laboratories</w:t>
      </w:r>
      <w:r w:rsidR="00ED02B1">
        <w:rPr>
          <w:rFonts w:ascii="Aptos" w:eastAsia="游明朝" w:hAnsi="Aptos" w:hint="eastAsia"/>
          <w:sz w:val="22"/>
          <w:lang w:eastAsia="ja-JP"/>
        </w:rPr>
        <w:t xml:space="preserve">, </w:t>
      </w:r>
      <w:r w:rsidR="00ED02B1" w:rsidRPr="000615D9">
        <w:rPr>
          <w:rFonts w:ascii="Aptos" w:hAnsi="Aptos"/>
          <w:sz w:val="22"/>
        </w:rPr>
        <w:t>NTT</w:t>
      </w:r>
      <w:r w:rsidR="00ED02B1">
        <w:rPr>
          <w:rFonts w:ascii="Aptos" w:eastAsia="游明朝" w:hAnsi="Aptos" w:hint="eastAsia"/>
          <w:sz w:val="22"/>
          <w:lang w:eastAsia="ja-JP"/>
        </w:rPr>
        <w:t>, Inc.</w:t>
      </w:r>
    </w:p>
    <w:p w14:paraId="0756BA84" w14:textId="7619B87D" w:rsidR="000615D9" w:rsidRPr="000615D9" w:rsidRDefault="000615D9" w:rsidP="000615D9">
      <w:pPr>
        <w:jc w:val="center"/>
        <w:rPr>
          <w:rFonts w:ascii="Aptos" w:hAnsi="Aptos"/>
          <w:sz w:val="22"/>
        </w:rPr>
      </w:pPr>
      <w:r w:rsidRPr="000615D9">
        <w:rPr>
          <w:rFonts w:ascii="Aptos" w:hAnsi="Aptos" w:hint="eastAsia"/>
          <w:sz w:val="22"/>
        </w:rPr>
        <w:t>²</w:t>
      </w:r>
      <w:r w:rsidRPr="000615D9">
        <w:rPr>
          <w:rFonts w:ascii="Aptos" w:hAnsi="Aptos"/>
          <w:sz w:val="22"/>
        </w:rPr>
        <w:t>Typhoon Science and Technology Research Center, Yokohama National University</w:t>
      </w:r>
    </w:p>
    <w:p w14:paraId="253DFC7F" w14:textId="176D2AE7" w:rsidR="000615D9" w:rsidRPr="000615D9" w:rsidRDefault="000615D9" w:rsidP="000615D9">
      <w:pPr>
        <w:jc w:val="center"/>
        <w:rPr>
          <w:rFonts w:ascii="Aptos" w:hAnsi="Aptos"/>
          <w:sz w:val="22"/>
        </w:rPr>
      </w:pPr>
      <w:r w:rsidRPr="000615D9">
        <w:rPr>
          <w:rFonts w:ascii="Aptos" w:hAnsi="Aptos" w:hint="eastAsia"/>
          <w:sz w:val="22"/>
        </w:rPr>
        <w:t>³</w:t>
      </w:r>
      <w:r w:rsidRPr="000615D9">
        <w:rPr>
          <w:rFonts w:ascii="Aptos" w:hAnsi="Aptos"/>
          <w:sz w:val="22"/>
        </w:rPr>
        <w:t>Kyoto University</w:t>
      </w:r>
    </w:p>
    <w:p w14:paraId="4FF853AF" w14:textId="77777777" w:rsidR="000615D9" w:rsidRDefault="000615D9" w:rsidP="000615D9">
      <w:pPr>
        <w:jc w:val="center"/>
        <w:rPr>
          <w:rFonts w:ascii="Aptos" w:eastAsia="游明朝" w:hAnsi="Aptos"/>
          <w:sz w:val="22"/>
          <w:lang w:eastAsia="ja-JP"/>
        </w:rPr>
      </w:pPr>
      <w:r w:rsidRPr="000615D9">
        <w:rPr>
          <w:rFonts w:ascii="Aptos" w:hAnsi="Aptos"/>
          <w:sz w:val="22"/>
        </w:rPr>
        <w:t>⁴ Okinawa Institute of Science and Technology Graduate University</w:t>
      </w:r>
    </w:p>
    <w:p w14:paraId="4D36E90A" w14:textId="77777777" w:rsidR="00D1293E" w:rsidRPr="00FB38A7" w:rsidRDefault="00D1293E" w:rsidP="00D1293E">
      <w:pPr>
        <w:jc w:val="center"/>
        <w:rPr>
          <w:rFonts w:ascii="Aptos" w:hAnsi="Aptos" w:cs="Times New Roman"/>
          <w:sz w:val="22"/>
        </w:rPr>
      </w:pPr>
    </w:p>
    <w:p w14:paraId="642921BF" w14:textId="77777777" w:rsidR="00D1293E" w:rsidRPr="00FB38A7" w:rsidRDefault="00D1293E" w:rsidP="00D1293E">
      <w:pPr>
        <w:rPr>
          <w:rFonts w:ascii="Aptos" w:hAnsi="Aptos" w:cs="Times New Roman"/>
          <w:sz w:val="22"/>
        </w:rPr>
      </w:pPr>
    </w:p>
    <w:p w14:paraId="18852C74" w14:textId="77777777" w:rsidR="00D9276E" w:rsidRPr="00FB38A7" w:rsidRDefault="00510650" w:rsidP="00D1293E">
      <w:pPr>
        <w:rPr>
          <w:rFonts w:ascii="Aptos" w:hAnsi="Aptos"/>
          <w:b/>
          <w:bCs/>
          <w:sz w:val="22"/>
        </w:rPr>
      </w:pPr>
      <w:r w:rsidRPr="00FB38A7">
        <w:rPr>
          <w:rFonts w:ascii="Aptos" w:hAnsi="Aptos"/>
          <w:b/>
          <w:bCs/>
          <w:sz w:val="22"/>
        </w:rPr>
        <w:t>Abstract</w:t>
      </w:r>
    </w:p>
    <w:p w14:paraId="5F1D8811" w14:textId="77777777" w:rsidR="00222C9C" w:rsidRPr="00222C9C" w:rsidRDefault="00222C9C" w:rsidP="00222C9C">
      <w:pPr>
        <w:rPr>
          <w:rFonts w:ascii="Aptos" w:hAnsi="Aptos"/>
          <w:sz w:val="22"/>
        </w:rPr>
      </w:pPr>
      <w:r w:rsidRPr="00222C9C">
        <w:rPr>
          <w:rFonts w:ascii="Aptos" w:hAnsi="Aptos"/>
          <w:sz w:val="22"/>
        </w:rPr>
        <w:t>Improving tropical cyclone (TC) intensity prediction requires in situ observations over the ocean, yet observations within TC environments remain extremely limited. Autonomous surface vehicles (ASVs) provide a promising platform for collecting sea-surface measurements during TCs. Because ASVs move much more slowly than the typical translation speed of TCs, observing locations must be determined well in advance, making the design of effective observing strategies with a limited number of platforms a key challenge.</w:t>
      </w:r>
    </w:p>
    <w:p w14:paraId="0AF9DB35" w14:textId="77777777" w:rsidR="00222C9C" w:rsidRPr="00222C9C" w:rsidRDefault="00222C9C" w:rsidP="00222C9C">
      <w:pPr>
        <w:rPr>
          <w:rFonts w:ascii="Aptos" w:hAnsi="Aptos"/>
          <w:sz w:val="22"/>
        </w:rPr>
      </w:pPr>
    </w:p>
    <w:p w14:paraId="2E5B2A5D" w14:textId="77777777" w:rsidR="00222C9C" w:rsidRPr="00222C9C" w:rsidRDefault="00222C9C" w:rsidP="00222C9C">
      <w:pPr>
        <w:rPr>
          <w:rFonts w:ascii="Aptos" w:hAnsi="Aptos"/>
          <w:sz w:val="22"/>
        </w:rPr>
      </w:pPr>
      <w:r w:rsidRPr="00222C9C">
        <w:rPr>
          <w:rFonts w:ascii="Aptos" w:hAnsi="Aptos"/>
          <w:sz w:val="22"/>
        </w:rPr>
        <w:t>Previous observing system simulation experiments (OSSEs) have suggested that observations placed in dynamically sensitive regions within the TC strong-wind area can improve intensity forecasts more effectively than many uniformly distributed observations.</w:t>
      </w:r>
    </w:p>
    <w:p w14:paraId="7A750EC5" w14:textId="77777777" w:rsidR="00222C9C" w:rsidRPr="00222C9C" w:rsidRDefault="00222C9C" w:rsidP="00222C9C">
      <w:pPr>
        <w:rPr>
          <w:rFonts w:ascii="Aptos" w:hAnsi="Aptos"/>
          <w:sz w:val="22"/>
        </w:rPr>
      </w:pPr>
    </w:p>
    <w:p w14:paraId="77C4855D" w14:textId="77777777" w:rsidR="00222C9C" w:rsidRPr="00222C9C" w:rsidRDefault="00222C9C" w:rsidP="00222C9C">
      <w:pPr>
        <w:rPr>
          <w:rFonts w:ascii="Aptos" w:hAnsi="Aptos"/>
          <w:sz w:val="22"/>
        </w:rPr>
      </w:pPr>
      <w:r w:rsidRPr="00222C9C">
        <w:rPr>
          <w:rFonts w:ascii="Aptos" w:hAnsi="Aptos"/>
          <w:sz w:val="22"/>
        </w:rPr>
        <w:t xml:space="preserve">Building on these findings, this study evaluates an observing strategy based on the operational deployment of two Wave Gliders (a type of ASV). OSSE experiments are conducted using the Weather Research and Forecasting (WRF) model and the WRF Data Assimilation (WRFDA) system with a three-dimensional </w:t>
      </w:r>
      <w:proofErr w:type="gramStart"/>
      <w:r w:rsidRPr="00222C9C">
        <w:rPr>
          <w:rFonts w:ascii="Aptos" w:hAnsi="Aptos"/>
          <w:sz w:val="22"/>
        </w:rPr>
        <w:t>variational</w:t>
      </w:r>
      <w:proofErr w:type="gramEnd"/>
      <w:r w:rsidRPr="00222C9C">
        <w:rPr>
          <w:rFonts w:ascii="Aptos" w:hAnsi="Aptos"/>
          <w:sz w:val="22"/>
        </w:rPr>
        <w:t xml:space="preserve"> (3DVAR) scheme. The nature run is based on TC KHANUN (2023), and synthetic observations sampled from this simulation are assimilated to evaluate observation impacts. The observation locations correspond to the two Wave Glider sites used during field observations of TC HINNAMNOR (2022), and several alternative candidate locations within the TC strong-wind region are also examined.</w:t>
      </w:r>
    </w:p>
    <w:p w14:paraId="493D2CE8" w14:textId="77777777" w:rsidR="00222C9C" w:rsidRPr="00222C9C" w:rsidRDefault="00222C9C" w:rsidP="00222C9C">
      <w:pPr>
        <w:rPr>
          <w:rFonts w:ascii="Aptos" w:hAnsi="Aptos"/>
          <w:sz w:val="22"/>
        </w:rPr>
      </w:pPr>
    </w:p>
    <w:p w14:paraId="04E35252" w14:textId="797D62A3" w:rsidR="00F04EB1" w:rsidRDefault="00222C9C" w:rsidP="00222C9C">
      <w:pPr>
        <w:rPr>
          <w:rFonts w:ascii="Aptos" w:hAnsi="Aptos"/>
          <w:sz w:val="22"/>
        </w:rPr>
      </w:pPr>
      <w:r w:rsidRPr="00222C9C">
        <w:rPr>
          <w:rFonts w:ascii="Aptos" w:hAnsi="Aptos"/>
          <w:sz w:val="22"/>
        </w:rPr>
        <w:t>Assimilating observations at the two operational Wave Glider locations improves TC intensity forecasts relative to the control experiment without these observations. Among the feasible candidate configurations considered under realistic operational constraints, the operational two-point deployment is shown to be both rational and effective. These results demonstrate the value of strategically placed ASV observations within TC strong-wind regions and provide a practical framework for assessing and designing operational ASV observing strategies for TC intensity prediction.</w:t>
      </w:r>
    </w:p>
    <w:p w14:paraId="7FD1E781" w14:textId="0D1AD542" w:rsidR="00296B9B" w:rsidRPr="001B3776" w:rsidRDefault="00296B9B" w:rsidP="001B3776">
      <w:pPr>
        <w:widowControl/>
        <w:jc w:val="left"/>
        <w:rPr>
          <w:rFonts w:ascii="Aptos" w:eastAsia="游明朝" w:hAnsi="Aptos" w:hint="eastAsia"/>
          <w:sz w:val="22"/>
          <w:lang w:eastAsia="ja-JP"/>
        </w:rPr>
      </w:pPr>
    </w:p>
    <w:sectPr w:rsidR="00296B9B" w:rsidRPr="001B3776" w:rsidSect="00904D71">
      <w:pgSz w:w="11906" w:h="16838"/>
      <w:pgMar w:top="1134"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899C45" w14:textId="77777777" w:rsidR="001B3776" w:rsidRDefault="001B3776" w:rsidP="001B3776">
      <w:r>
        <w:separator/>
      </w:r>
    </w:p>
  </w:endnote>
  <w:endnote w:type="continuationSeparator" w:id="0">
    <w:p w14:paraId="7FA69E07" w14:textId="77777777" w:rsidR="001B3776" w:rsidRDefault="001B3776" w:rsidP="001B37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ＭＳ Ｐゴシック">
    <w:panose1 w:val="020B0600070205080204"/>
    <w:charset w:val="80"/>
    <w:family w:val="modern"/>
    <w:pitch w:val="variable"/>
    <w:sig w:usb0="E00002FF" w:usb1="6AC7FDFB" w:usb2="08000012" w:usb3="00000000" w:csb0="0002009F" w:csb1="00000000"/>
  </w:font>
  <w:font w:name="Aptos">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DengXian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26A467" w14:textId="77777777" w:rsidR="001B3776" w:rsidRDefault="001B3776" w:rsidP="001B3776">
      <w:r>
        <w:separator/>
      </w:r>
    </w:p>
  </w:footnote>
  <w:footnote w:type="continuationSeparator" w:id="0">
    <w:p w14:paraId="2837409A" w14:textId="77777777" w:rsidR="001B3776" w:rsidRDefault="001B3776" w:rsidP="001B377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3"/>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ZkYzA5Y2QxZWE1OTk3ZWRlYmU2YjgxOWQ0YmUzMzcifQ=="/>
  </w:docVars>
  <w:rsids>
    <w:rsidRoot w:val="00D246A5"/>
    <w:rsid w:val="0005299D"/>
    <w:rsid w:val="00055C0C"/>
    <w:rsid w:val="000615D9"/>
    <w:rsid w:val="00076BC6"/>
    <w:rsid w:val="001102E2"/>
    <w:rsid w:val="001B3776"/>
    <w:rsid w:val="00222C9C"/>
    <w:rsid w:val="00235091"/>
    <w:rsid w:val="002360EC"/>
    <w:rsid w:val="00262882"/>
    <w:rsid w:val="002926C3"/>
    <w:rsid w:val="00293051"/>
    <w:rsid w:val="00296B9B"/>
    <w:rsid w:val="003A5BB8"/>
    <w:rsid w:val="003D4B8E"/>
    <w:rsid w:val="004F08B3"/>
    <w:rsid w:val="00510650"/>
    <w:rsid w:val="00514D78"/>
    <w:rsid w:val="00621FCC"/>
    <w:rsid w:val="00651D11"/>
    <w:rsid w:val="00666AF1"/>
    <w:rsid w:val="006B43A3"/>
    <w:rsid w:val="006C6BD6"/>
    <w:rsid w:val="00764434"/>
    <w:rsid w:val="00800C49"/>
    <w:rsid w:val="0082172C"/>
    <w:rsid w:val="00893CCD"/>
    <w:rsid w:val="00904D71"/>
    <w:rsid w:val="009C43B7"/>
    <w:rsid w:val="00A101A9"/>
    <w:rsid w:val="00A26C81"/>
    <w:rsid w:val="00A73BCE"/>
    <w:rsid w:val="00A836A5"/>
    <w:rsid w:val="00B376A9"/>
    <w:rsid w:val="00B507F6"/>
    <w:rsid w:val="00B605E2"/>
    <w:rsid w:val="00BB0225"/>
    <w:rsid w:val="00BF3361"/>
    <w:rsid w:val="00CF1A66"/>
    <w:rsid w:val="00D1293E"/>
    <w:rsid w:val="00D246A5"/>
    <w:rsid w:val="00D77BA8"/>
    <w:rsid w:val="00D9276E"/>
    <w:rsid w:val="00DA5506"/>
    <w:rsid w:val="00DC0D46"/>
    <w:rsid w:val="00DC542E"/>
    <w:rsid w:val="00DF5345"/>
    <w:rsid w:val="00E355E7"/>
    <w:rsid w:val="00EC4259"/>
    <w:rsid w:val="00ED02B1"/>
    <w:rsid w:val="00F04EB1"/>
    <w:rsid w:val="00F051B8"/>
    <w:rsid w:val="00FB38A7"/>
    <w:rsid w:val="039F78D2"/>
    <w:rsid w:val="1708734D"/>
    <w:rsid w:val="19B60BB4"/>
    <w:rsid w:val="2581351A"/>
    <w:rsid w:val="32FE3480"/>
    <w:rsid w:val="3F831AB3"/>
    <w:rsid w:val="431E351D"/>
    <w:rsid w:val="5E3A01F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0111A9A1"/>
  <w15:docId w15:val="{F97DA1FB-8AD3-41E1-A2A1-176F2ED724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cstheme="minorBidi"/>
      <w:kern w:val="2"/>
      <w:sz w:val="21"/>
      <w:szCs w:val="22"/>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Web">
    <w:name w:val="Normal (Web)"/>
    <w:basedOn w:val="a"/>
    <w:uiPriority w:val="99"/>
    <w:semiHidden/>
    <w:unhideWhenUsed/>
    <w:rsid w:val="00296B9B"/>
    <w:pPr>
      <w:widowControl/>
      <w:spacing w:before="100" w:beforeAutospacing="1" w:after="100" w:afterAutospacing="1"/>
      <w:jc w:val="left"/>
    </w:pPr>
    <w:rPr>
      <w:rFonts w:ascii="ＭＳ Ｐゴシック" w:eastAsia="ＭＳ Ｐゴシック" w:hAnsi="ＭＳ Ｐゴシック" w:cs="ＭＳ Ｐゴシック"/>
      <w:kern w:val="0"/>
      <w:sz w:val="24"/>
      <w:szCs w:val="24"/>
      <w:lang w:eastAsia="ja-JP"/>
    </w:rPr>
  </w:style>
  <w:style w:type="character" w:styleId="a3">
    <w:name w:val="Strong"/>
    <w:basedOn w:val="a0"/>
    <w:uiPriority w:val="22"/>
    <w:qFormat/>
    <w:rsid w:val="00296B9B"/>
    <w:rPr>
      <w:b/>
      <w:bCs/>
    </w:rPr>
  </w:style>
  <w:style w:type="paragraph" w:styleId="a4">
    <w:name w:val="header"/>
    <w:basedOn w:val="a"/>
    <w:link w:val="a5"/>
    <w:uiPriority w:val="99"/>
    <w:unhideWhenUsed/>
    <w:rsid w:val="001B3776"/>
    <w:pPr>
      <w:tabs>
        <w:tab w:val="center" w:pos="4252"/>
        <w:tab w:val="right" w:pos="8504"/>
      </w:tabs>
      <w:snapToGrid w:val="0"/>
    </w:pPr>
  </w:style>
  <w:style w:type="character" w:customStyle="1" w:styleId="a5">
    <w:name w:val="ヘッダー (文字)"/>
    <w:basedOn w:val="a0"/>
    <w:link w:val="a4"/>
    <w:uiPriority w:val="99"/>
    <w:rsid w:val="001B3776"/>
    <w:rPr>
      <w:rFonts w:cstheme="minorBidi"/>
      <w:kern w:val="2"/>
      <w:sz w:val="21"/>
      <w:szCs w:val="22"/>
      <w:lang w:val="en-US" w:eastAsia="zh-CN"/>
    </w:rPr>
  </w:style>
  <w:style w:type="paragraph" w:styleId="a6">
    <w:name w:val="footer"/>
    <w:basedOn w:val="a"/>
    <w:link w:val="a7"/>
    <w:uiPriority w:val="99"/>
    <w:unhideWhenUsed/>
    <w:rsid w:val="001B3776"/>
    <w:pPr>
      <w:tabs>
        <w:tab w:val="center" w:pos="4252"/>
        <w:tab w:val="right" w:pos="8504"/>
      </w:tabs>
      <w:snapToGrid w:val="0"/>
    </w:pPr>
  </w:style>
  <w:style w:type="character" w:customStyle="1" w:styleId="a7">
    <w:name w:val="フッター (文字)"/>
    <w:basedOn w:val="a0"/>
    <w:link w:val="a6"/>
    <w:uiPriority w:val="99"/>
    <w:rsid w:val="001B3776"/>
    <w:rPr>
      <w:rFonts w:cstheme="minorBidi"/>
      <w:kern w:val="2"/>
      <w:sz w:val="21"/>
      <w:szCs w:val="22"/>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Metadata/LabelInfo.xml><?xml version="1.0" encoding="utf-8"?>
<clbl:labelList xmlns:clbl="http://schemas.microsoft.com/office/2020/mipLabelMetadata">
  <clbl:label id="{17f18161-20d7-4746-87fd-50fe3e3b6619}" enabled="0" method="" siteId="{17f18161-20d7-4746-87fd-50fe3e3b6619}" removed="1"/>
  <clbl:label id="{dbb4fa5d-3ac5-4415-967c-34900a0e1c6f}" enabled="1" method="Privileged" siteId="{a629ef32-67ba-47a6-8eb3-ec43935644fc}"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381</Words>
  <Characters>2177</Characters>
  <Application>Microsoft Office Word</Application>
  <DocSecurity>0</DocSecurity>
  <Lines>18</Lines>
  <Paragraphs>5</Paragraphs>
  <ScaleCrop>false</ScaleCrop>
  <Company/>
  <LinksUpToDate>false</LinksUpToDate>
  <CharactersWithSpaces>2553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 苗茵</dc:creator>
  <cp:lastModifiedBy>Naoko Kosaka（小阪尚子）</cp:lastModifiedBy>
  <cp:revision>2</cp:revision>
  <dcterms:created xsi:type="dcterms:W3CDTF">2026-03-27T12:08:00Z</dcterms:created>
  <dcterms:modified xsi:type="dcterms:W3CDTF">2026-03-27T12:08:00Z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2052-11.1.0.14036</vt:lpwstr>
  </property>
  <property fmtid="{D5CDD505-2E9C-101B-9397-08002B2CF9AE}" pid="3" name="ICV">
    <vt:lpwstr>31DF4B301F96420485D3BBD7451342B9_13</vt:lpwstr>
  </property>
</Properties>
</file>