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Impact of the Mississippi River plume on Hurricane Idalia (2023): a sensitivity experiment</w:t>
      </w:r>
    </w:p>
    <w:p w:rsidR="00000000" w:rsidDel="00000000" w:rsidP="00000000" w:rsidRDefault="00000000" w:rsidRPr="00000000" w14:paraId="00000002">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03">
      <w:pPr>
        <w:ind w:left="0" w:firstLine="0"/>
        <w:jc w:val="center"/>
        <w:rPr>
          <w:rFonts w:ascii="Arial" w:cs="Arial" w:eastAsia="Arial" w:hAnsi="Arial"/>
          <w:vertAlign w:val="superscript"/>
        </w:rPr>
      </w:pPr>
      <w:r w:rsidDel="00000000" w:rsidR="00000000" w:rsidRPr="00000000">
        <w:rPr>
          <w:rFonts w:ascii="Arial" w:cs="Arial" w:eastAsia="Arial" w:hAnsi="Arial"/>
          <w:rtl w:val="0"/>
        </w:rPr>
        <w:t xml:space="preserve">Matthieu Le Henaff</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Lew Gramer</w:t>
      </w:r>
      <w:r w:rsidDel="00000000" w:rsidR="00000000" w:rsidRPr="00000000">
        <w:rPr>
          <w:rFonts w:ascii="Arial" w:cs="Arial" w:eastAsia="Arial" w:hAnsi="Arial"/>
          <w:vertAlign w:val="superscript"/>
          <w:rtl w:val="0"/>
        </w:rPr>
        <w:t xml:space="preserve">2,1</w:t>
      </w:r>
    </w:p>
    <w:p w:rsidR="00000000" w:rsidDel="00000000" w:rsidP="00000000" w:rsidRDefault="00000000" w:rsidRPr="00000000" w14:paraId="00000004">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05">
      <w:pPr>
        <w:ind w:left="0" w:firstLine="0"/>
        <w:jc w:val="center"/>
        <w:rPr>
          <w:rFonts w:ascii="Arial" w:cs="Arial" w:eastAsia="Arial" w:hAnsi="Arial"/>
        </w:rPr>
      </w:pP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NOAA AOML</w:t>
      </w:r>
    </w:p>
    <w:p w:rsidR="00000000" w:rsidDel="00000000" w:rsidP="00000000" w:rsidRDefault="00000000" w:rsidRPr="00000000" w14:paraId="00000006">
      <w:pPr>
        <w:ind w:left="0" w:firstLine="0"/>
        <w:jc w:val="center"/>
        <w:rPr>
          <w:rFonts w:ascii="Arial" w:cs="Arial" w:eastAsia="Arial" w:hAnsi="Arial"/>
        </w:rPr>
      </w:pPr>
      <w:r w:rsidDel="00000000" w:rsidR="00000000" w:rsidRPr="00000000">
        <w:rPr>
          <w:rFonts w:ascii="Arial" w:cs="Arial" w:eastAsia="Arial" w:hAnsi="Arial"/>
          <w:vertAlign w:val="superscript"/>
          <w:rtl w:val="0"/>
        </w:rPr>
        <w:t xml:space="preserve">2</w:t>
      </w:r>
      <w:r w:rsidDel="00000000" w:rsidR="00000000" w:rsidRPr="00000000">
        <w:rPr>
          <w:rFonts w:ascii="Arial" w:cs="Arial" w:eastAsia="Arial" w:hAnsi="Arial"/>
          <w:rtl w:val="0"/>
        </w:rPr>
        <w:t xml:space="preserve">University of Miami/CIMAS</w:t>
      </w:r>
    </w:p>
    <w:p w:rsidR="00000000" w:rsidDel="00000000" w:rsidP="00000000" w:rsidRDefault="00000000" w:rsidRPr="00000000" w14:paraId="00000007">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08">
      <w:pPr>
        <w:ind w:left="0" w:firstLine="0"/>
        <w:rPr>
          <w:rFonts w:ascii="Arial" w:cs="Arial" w:eastAsia="Arial" w:hAnsi="Arial"/>
        </w:rPr>
      </w:pPr>
      <w:r w:rsidDel="00000000" w:rsidR="00000000" w:rsidRPr="00000000">
        <w:rPr>
          <w:rFonts w:ascii="Arial" w:cs="Arial" w:eastAsia="Arial" w:hAnsi="Arial"/>
          <w:b w:val="1"/>
          <w:bCs w:val="1"/>
          <w:rtl w:val="0"/>
        </w:rPr>
        <w:t xml:space="preserve">Abstract</w:t>
      </w:r>
      <w:r w:rsidDel="00000000" w:rsidR="00000000" w:rsidRPr="00000000">
        <w:rPr>
          <w:rFonts w:ascii="Arial" w:cs="Arial" w:eastAsia="Arial" w:hAnsi="Arial"/>
          <w:rtl w:val="0"/>
        </w:rPr>
        <w:t xml:space="preserve"> </w:t>
      </w:r>
    </w:p>
    <w:p w:rsidR="00000000" w:rsidDel="00000000" w:rsidP="00000000" w:rsidRDefault="00000000" w:rsidRPr="00000000" w14:paraId="00000009">
      <w:pPr>
        <w:ind w:left="0" w:firstLine="0"/>
        <w:rPr>
          <w:rFonts w:ascii="Arial" w:cs="Arial" w:eastAsia="Arial" w:hAnsi="Arial"/>
        </w:rPr>
      </w:pPr>
      <w:r w:rsidDel="00000000" w:rsidR="00000000" w:rsidRPr="00000000">
        <w:rPr>
          <w:rFonts w:ascii="Arial" w:cs="Arial" w:eastAsia="Arial" w:hAnsi="Arial"/>
          <w:rtl w:val="0"/>
        </w:rPr>
        <w:t xml:space="preserve">Tropical Cyclones (TCs) draw much of their energy from the ocean. The ocean’s vertical structure is important for the TC problem, as the density stratification affects the vertical mixing and therefore the cooling of the ocean under a TC, which can act as a negative feedback on the storm. Plumes from large rivers, such as the Mississippi River, are associated with a strong salinity-driven density stratification, which can impede the storm-induced cooling, supporting stronger TCs. </w:t>
      </w:r>
    </w:p>
    <w:p w:rsidR="00000000" w:rsidDel="00000000" w:rsidP="00000000" w:rsidRDefault="00000000" w:rsidRPr="00000000" w14:paraId="0000000A">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0B">
      <w:pPr>
        <w:ind w:left="0" w:firstLine="0"/>
        <w:rPr>
          <w:rFonts w:ascii="Arial" w:cs="Arial" w:eastAsia="Arial" w:hAnsi="Arial"/>
        </w:rPr>
      </w:pPr>
      <w:r w:rsidDel="00000000" w:rsidR="00000000" w:rsidRPr="00000000">
        <w:rPr>
          <w:rFonts w:ascii="Arial" w:cs="Arial" w:eastAsia="Arial" w:hAnsi="Arial"/>
          <w:rtl w:val="0"/>
        </w:rPr>
        <w:t xml:space="preserve">In 2023, Hurricane Idalia made landfall in the Northeast corner of the Gulf of America (aka the Gulf of Mexico), in Florida. Before making landfall as a Category 3 hurricane, it intensified when it passed over the Mississippi River plume, which extended along the West Florida Shelf. We performed sensitivity experiments using the HAFS model, NOAA’s operational coupled hurricane-ocean forecast model, which gets its initial ocean conditions from RTOFS, NOAA’s operational global ocean model. We ran two series of hurricane predictions with two sets of ocean initial conditions: the unperturbed ocean state estimate from RTOFS, and the same ocean fields but with the Mississippi River plume salinity signal removed. Observations from an unmanned surface vehicle deployed in the river plume under Hurricane Idalia show that the simulated ocean response, in surface and temperature and upper ocean currents, is realistic. Results show that, in the absence of the river plume, the TC-induced cooling is more pronounced, which results in a less intense storm at landfall. These results suggest that the Mississippi River contributed to the intensification of Hurricane Idalia. </w:t>
      </w:r>
    </w:p>
    <w:p w:rsidR="00000000" w:rsidDel="00000000" w:rsidP="00000000" w:rsidRDefault="00000000" w:rsidRPr="00000000" w14:paraId="0000000C">
      <w:pPr>
        <w:ind w:left="0" w:firstLine="0"/>
        <w:rPr>
          <w:rFonts w:ascii="Arial" w:cs="Arial" w:eastAsia="Arial" w:hAnsi="Arial"/>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Barlow Semi Condensed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arl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sz w:val="24"/>
        <w:szCs w:val="24"/>
        <w:lang w:val="en"/>
      </w:rPr>
    </w:rPrDefault>
    <w:pPrDefault>
      <w:pPr>
        <w:spacing w:line="276" w:lineRule="auto"/>
        <w:ind w:left="720" w:hanging="36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Barlow" w:cs="Barlow" w:eastAsia="Barlow" w:hAnsi="Barlow"/>
      <w:b w:val="1"/>
      <w:bCs w:val="1"/>
      <w:sz w:val="40"/>
      <w:szCs w:val="40"/>
    </w:rPr>
  </w:style>
  <w:style w:type="paragraph" w:styleId="Heading2">
    <w:name w:val="heading 2"/>
    <w:basedOn w:val="Normal"/>
    <w:next w:val="Normal"/>
    <w:pPr>
      <w:keepNext w:val="1"/>
      <w:keepLines w:val="1"/>
    </w:pPr>
    <w:rPr>
      <w:rFonts w:ascii="Barlow Semi Condensed Medium" w:cs="Barlow Semi Condensed Medium" w:eastAsia="Barlow Semi Condensed Medium" w:hAnsi="Barlow Semi Condensed Medium"/>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BarlowSemiCondensedMedium-regular.ttf"/><Relationship Id="rId2" Type="http://schemas.openxmlformats.org/officeDocument/2006/relationships/font" Target="fonts/BarlowSemiCondensedMedium-bold.ttf"/><Relationship Id="rId3" Type="http://schemas.openxmlformats.org/officeDocument/2006/relationships/font" Target="fonts/BarlowSemiCondensedMedium-italic.ttf"/><Relationship Id="rId4" Type="http://schemas.openxmlformats.org/officeDocument/2006/relationships/font" Target="fonts/BarlowSemiCondensedMedium-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Barlow-regular.ttf"/><Relationship Id="rId6" Type="http://schemas.openxmlformats.org/officeDocument/2006/relationships/font" Target="fonts/Barlow-bold.ttf"/><Relationship Id="rId7" Type="http://schemas.openxmlformats.org/officeDocument/2006/relationships/font" Target="fonts/Barlow-italic.ttf"/><Relationship Id="rId8" Type="http://schemas.openxmlformats.org/officeDocument/2006/relationships/font" Target="fonts/Barl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