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Tracing deoxygenation signals in the Mediterranean Sea through a Delayed-Mode Quality-Controlled BGC-Argo dataset</w:t>
      </w:r>
    </w:p>
    <w:p w:rsidR="00000000" w:rsidDel="00000000" w:rsidP="00000000" w:rsidRDefault="00000000" w:rsidRPr="00000000" w14:paraId="00000002">
      <w:pPr>
        <w:jc w:val="center"/>
        <w:rPr>
          <w:rFonts w:ascii="Aptos" w:cs="Aptos" w:eastAsia="Aptos" w:hAnsi="Aptos"/>
          <w:b w:val="1"/>
          <w:bCs w:val="1"/>
          <w:sz w:val="22"/>
          <w:szCs w:val="22"/>
        </w:rPr>
      </w:pPr>
      <w:r w:rsidDel="00000000" w:rsidR="00000000" w:rsidRPr="00000000">
        <w:rPr>
          <w:rtl w:val="0"/>
        </w:rPr>
      </w:r>
    </w:p>
    <w:p w:rsidR="00000000" w:rsidDel="00000000" w:rsidP="00000000" w:rsidRDefault="00000000" w:rsidRPr="00000000" w14:paraId="00000003">
      <w:pPr>
        <w:jc w:val="center"/>
        <w:rPr>
          <w:rFonts w:ascii="Aptos" w:cs="Aptos" w:eastAsia="Aptos" w:hAnsi="Aptos"/>
          <w:sz w:val="22"/>
          <w:szCs w:val="22"/>
          <w:vertAlign w:val="superscript"/>
        </w:rPr>
      </w:pPr>
      <w:r w:rsidDel="00000000" w:rsidR="00000000" w:rsidRPr="00000000">
        <w:rPr>
          <w:rFonts w:ascii="Aptos" w:cs="Aptos" w:eastAsia="Aptos" w:hAnsi="Aptos"/>
          <w:sz w:val="22"/>
          <w:szCs w:val="22"/>
          <w:rtl w:val="0"/>
        </w:rPr>
        <w:t xml:space="preserve">Amadio C.</w:t>
      </w:r>
      <w:r w:rsidDel="00000000" w:rsidR="00000000" w:rsidRPr="00000000">
        <w:rPr>
          <w:rFonts w:ascii="Aptos" w:cs="Aptos" w:eastAsia="Aptos" w:hAnsi="Aptos"/>
          <w:sz w:val="22"/>
          <w:szCs w:val="22"/>
          <w:vertAlign w:val="superscript"/>
          <w:rtl w:val="0"/>
        </w:rPr>
        <w:t xml:space="preserve">1</w:t>
      </w:r>
      <w:r w:rsidDel="00000000" w:rsidR="00000000" w:rsidRPr="00000000">
        <w:rPr>
          <w:rFonts w:ascii="Aptos" w:cs="Aptos" w:eastAsia="Aptos" w:hAnsi="Aptos"/>
          <w:sz w:val="22"/>
          <w:szCs w:val="22"/>
          <w:rtl w:val="0"/>
        </w:rPr>
        <w:t xml:space="preserve">, Teruzzi A.</w:t>
      </w:r>
      <w:r w:rsidDel="00000000" w:rsidR="00000000" w:rsidRPr="00000000">
        <w:rPr>
          <w:rFonts w:ascii="Aptos" w:cs="Aptos" w:eastAsia="Aptos" w:hAnsi="Aptos"/>
          <w:sz w:val="22"/>
          <w:szCs w:val="22"/>
          <w:vertAlign w:val="superscript"/>
          <w:rtl w:val="0"/>
        </w:rPr>
        <w:t xml:space="preserve">1</w:t>
      </w:r>
      <w:r w:rsidDel="00000000" w:rsidR="00000000" w:rsidRPr="00000000">
        <w:rPr>
          <w:rFonts w:ascii="Aptos" w:cs="Aptos" w:eastAsia="Aptos" w:hAnsi="Aptos"/>
          <w:sz w:val="22"/>
          <w:szCs w:val="22"/>
          <w:rtl w:val="0"/>
        </w:rPr>
        <w:t xml:space="preserve">, Dall’Olmo G.</w:t>
      </w:r>
      <w:r w:rsidDel="00000000" w:rsidR="00000000" w:rsidRPr="00000000">
        <w:rPr>
          <w:rFonts w:ascii="Aptos" w:cs="Aptos" w:eastAsia="Aptos" w:hAnsi="Aptos"/>
          <w:sz w:val="22"/>
          <w:szCs w:val="22"/>
          <w:vertAlign w:val="superscript"/>
          <w:rtl w:val="0"/>
        </w:rPr>
        <w:t xml:space="preserve">1</w:t>
      </w:r>
      <w:r w:rsidDel="00000000" w:rsidR="00000000" w:rsidRPr="00000000">
        <w:rPr>
          <w:rFonts w:ascii="Aptos" w:cs="Aptos" w:eastAsia="Aptos" w:hAnsi="Aptos"/>
          <w:sz w:val="22"/>
          <w:szCs w:val="22"/>
          <w:rtl w:val="0"/>
        </w:rPr>
        <w:t xml:space="preserve">, Cossarini G.</w:t>
      </w:r>
      <w:r w:rsidDel="00000000" w:rsidR="00000000" w:rsidRPr="00000000">
        <w:rPr>
          <w:rFonts w:ascii="Aptos" w:cs="Aptos" w:eastAsia="Aptos" w:hAnsi="Aptos"/>
          <w:sz w:val="22"/>
          <w:szCs w:val="22"/>
          <w:vertAlign w:val="superscript"/>
          <w:rtl w:val="0"/>
        </w:rPr>
        <w:t xml:space="preserve">1</w:t>
      </w:r>
    </w:p>
    <w:p w:rsidR="00000000" w:rsidDel="00000000" w:rsidP="00000000" w:rsidRDefault="00000000" w:rsidRPr="00000000" w14:paraId="00000004">
      <w:pPr>
        <w:jc w:val="center"/>
        <w:rPr>
          <w:rFonts w:ascii="Aptos" w:cs="Aptos" w:eastAsia="Aptos" w:hAnsi="Aptos"/>
          <w:sz w:val="22"/>
          <w:szCs w:val="22"/>
          <w:vertAlign w:val="superscript"/>
        </w:rPr>
      </w:pPr>
      <w:r w:rsidDel="00000000" w:rsidR="00000000" w:rsidRPr="00000000">
        <w:rPr>
          <w:rtl w:val="0"/>
        </w:rPr>
      </w:r>
    </w:p>
    <w:p w:rsidR="00000000" w:rsidDel="00000000" w:rsidP="00000000" w:rsidRDefault="00000000" w:rsidRPr="00000000" w14:paraId="00000005">
      <w:pPr>
        <w:jc w:val="center"/>
        <w:rPr>
          <w:rFonts w:ascii="Aptos" w:cs="Aptos" w:eastAsia="Aptos" w:hAnsi="Aptos"/>
          <w:sz w:val="22"/>
          <w:szCs w:val="22"/>
          <w:vertAlign w:val="superscript"/>
        </w:rPr>
      </w:pPr>
      <w:r w:rsidDel="00000000" w:rsidR="00000000" w:rsidRPr="00000000">
        <w:rPr>
          <w:rtl w:val="0"/>
        </w:rPr>
      </w:r>
    </w:p>
    <w:p w:rsidR="00000000" w:rsidDel="00000000" w:rsidP="00000000" w:rsidRDefault="00000000" w:rsidRPr="00000000" w14:paraId="00000006">
      <w:pPr>
        <w:jc w:val="center"/>
        <w:rPr>
          <w:rFonts w:ascii="Aptos" w:cs="Aptos" w:eastAsia="Aptos" w:hAnsi="Aptos"/>
          <w:sz w:val="22"/>
          <w:szCs w:val="22"/>
        </w:rPr>
      </w:pPr>
      <w:r w:rsidDel="00000000" w:rsidR="00000000" w:rsidRPr="00000000">
        <w:rPr>
          <w:rFonts w:ascii="Aptos" w:cs="Aptos" w:eastAsia="Aptos" w:hAnsi="Aptos"/>
          <w:sz w:val="22"/>
          <w:szCs w:val="22"/>
          <w:vertAlign w:val="superscript"/>
          <w:rtl w:val="0"/>
        </w:rPr>
        <w:t xml:space="preserve">1</w:t>
      </w:r>
      <w:r w:rsidDel="00000000" w:rsidR="00000000" w:rsidRPr="00000000">
        <w:rPr>
          <w:rFonts w:ascii="Aptos" w:cs="Aptos" w:eastAsia="Aptos" w:hAnsi="Aptos"/>
          <w:sz w:val="22"/>
          <w:szCs w:val="22"/>
          <w:rtl w:val="0"/>
        </w:rPr>
        <w:t xml:space="preserve"> National Institute of Oceanography and Applied Geophysics - OGS</w:t>
      </w:r>
    </w:p>
    <w:p w:rsidR="00000000" w:rsidDel="00000000" w:rsidP="00000000" w:rsidRDefault="00000000" w:rsidRPr="00000000" w14:paraId="00000007">
      <w:pPr>
        <w:jc w:val="center"/>
        <w:rPr>
          <w:rFonts w:ascii="Aptos" w:cs="Aptos" w:eastAsia="Aptos" w:hAnsi="Aptos"/>
          <w:sz w:val="22"/>
          <w:szCs w:val="22"/>
        </w:rPr>
      </w:pPr>
      <w:r w:rsidDel="00000000" w:rsidR="00000000" w:rsidRPr="00000000">
        <w:rPr>
          <w:rtl w:val="0"/>
        </w:rPr>
      </w:r>
    </w:p>
    <w:p w:rsidR="00000000" w:rsidDel="00000000" w:rsidP="00000000" w:rsidRDefault="00000000" w:rsidRPr="00000000" w14:paraId="00000008">
      <w:pPr>
        <w:jc w:val="center"/>
        <w:rPr>
          <w:rFonts w:ascii="Aptos" w:cs="Aptos" w:eastAsia="Aptos" w:hAnsi="Aptos"/>
          <w:sz w:val="22"/>
          <w:szCs w:val="22"/>
        </w:rPr>
      </w:pPr>
      <w:r w:rsidDel="00000000" w:rsidR="00000000" w:rsidRPr="00000000">
        <w:rPr>
          <w:rtl w:val="0"/>
        </w:rPr>
      </w:r>
    </w:p>
    <w:p w:rsidR="00000000" w:rsidDel="00000000" w:rsidP="00000000" w:rsidRDefault="00000000" w:rsidRPr="00000000" w14:paraId="00000009">
      <w:pPr>
        <w:rPr>
          <w:rFonts w:ascii="Aptos" w:cs="Aptos" w:eastAsia="Aptos" w:hAnsi="Aptos"/>
          <w:sz w:val="22"/>
          <w:szCs w:val="22"/>
        </w:rPr>
      </w:pPr>
      <w:r w:rsidDel="00000000" w:rsidR="00000000" w:rsidRPr="00000000">
        <w:rPr>
          <w:rtl w:val="0"/>
        </w:rPr>
      </w:r>
    </w:p>
    <w:p w:rsidR="00000000" w:rsidDel="00000000" w:rsidP="00000000" w:rsidRDefault="00000000" w:rsidRPr="00000000" w14:paraId="0000000A">
      <w:pP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Abstract</w:t>
      </w:r>
    </w:p>
    <w:p w:rsidR="00000000" w:rsidDel="00000000" w:rsidP="00000000" w:rsidRDefault="00000000" w:rsidRPr="00000000" w14:paraId="0000000B">
      <w:pPr>
        <w:rPr>
          <w:rFonts w:ascii="Aptos" w:cs="Aptos" w:eastAsia="Aptos" w:hAnsi="Aptos"/>
          <w:sz w:val="22"/>
          <w:szCs w:val="22"/>
        </w:rPr>
      </w:pPr>
      <w:r w:rsidDel="00000000" w:rsidR="00000000" w:rsidRPr="00000000">
        <w:rPr>
          <w:rtl w:val="0"/>
        </w:rPr>
      </w:r>
    </w:p>
    <w:p w:rsidR="00000000" w:rsidDel="00000000" w:rsidP="00000000" w:rsidRDefault="00000000" w:rsidRPr="00000000" w14:paraId="0000000C">
      <w:pPr>
        <w:rPr>
          <w:rFonts w:ascii="Aptos" w:cs="Aptos" w:eastAsia="Aptos" w:hAnsi="Aptos"/>
          <w:sz w:val="22"/>
          <w:szCs w:val="22"/>
        </w:rPr>
      </w:pPr>
      <w:r w:rsidDel="00000000" w:rsidR="00000000" w:rsidRPr="00000000">
        <w:rPr>
          <w:rFonts w:ascii="Aptos" w:cs="Aptos" w:eastAsia="Aptos" w:hAnsi="Aptos"/>
          <w:sz w:val="22"/>
          <w:szCs w:val="22"/>
          <w:rtl w:val="0"/>
        </w:rPr>
        <w:t xml:space="preserve">Dissolved oxygen (DO) is a key indicator of marine ecosystem functioning, reflecting atmospheric, hydrodynamic, and biogeochemical processes, as well as climate change. DO depletion has been observed globally and locally, with projections indicating continued declines in the Mediterranean Sea.</w:t>
      </w:r>
    </w:p>
    <w:p w:rsidR="00000000" w:rsidDel="00000000" w:rsidP="00000000" w:rsidRDefault="00000000" w:rsidRPr="00000000" w14:paraId="0000000D">
      <w:pPr>
        <w:rPr>
          <w:rFonts w:ascii="Aptos" w:cs="Aptos" w:eastAsia="Aptos" w:hAnsi="Aptos"/>
          <w:sz w:val="22"/>
          <w:szCs w:val="22"/>
        </w:rPr>
      </w:pPr>
      <w:r w:rsidDel="00000000" w:rsidR="00000000" w:rsidRPr="00000000">
        <w:rPr>
          <w:rtl w:val="0"/>
        </w:rPr>
      </w:r>
    </w:p>
    <w:p w:rsidR="00000000" w:rsidDel="00000000" w:rsidP="00000000" w:rsidRDefault="00000000" w:rsidRPr="00000000" w14:paraId="0000000E">
      <w:pPr>
        <w:rPr>
          <w:rFonts w:ascii="Aptos" w:cs="Aptos" w:eastAsia="Aptos" w:hAnsi="Aptos"/>
          <w:sz w:val="22"/>
          <w:szCs w:val="22"/>
        </w:rPr>
      </w:pPr>
      <w:r w:rsidDel="00000000" w:rsidR="00000000" w:rsidRPr="00000000">
        <w:rPr>
          <w:rFonts w:ascii="Aptos" w:cs="Aptos" w:eastAsia="Aptos" w:hAnsi="Aptos"/>
          <w:sz w:val="22"/>
          <w:szCs w:val="22"/>
          <w:rtl w:val="0"/>
        </w:rPr>
        <w:t xml:space="preserve">BGC-Argo oxygen is a primary measured biogeochemical variable, yet it is affected by systematic and random errors. The oxygen sensor (optode) may drift during storage and during deployment. Real-time quality control (RT QC) mitigates storage drift through automatic checks within 24 hours, mainly at the surface, along profiles, and float trajectories. Despite efforts to correct drift during storage, which may enhance accuracy, it is likely that drift is still observed in situ (or during deployment).</w:t>
      </w:r>
    </w:p>
    <w:p w:rsidR="00000000" w:rsidDel="00000000" w:rsidP="00000000" w:rsidRDefault="00000000" w:rsidRPr="00000000" w14:paraId="0000000F">
      <w:pPr>
        <w:rPr>
          <w:rFonts w:ascii="Aptos" w:cs="Aptos" w:eastAsia="Aptos" w:hAnsi="Aptos"/>
          <w:sz w:val="22"/>
          <w:szCs w:val="22"/>
        </w:rPr>
      </w:pPr>
      <w:r w:rsidDel="00000000" w:rsidR="00000000" w:rsidRPr="00000000">
        <w:rPr>
          <w:rtl w:val="0"/>
        </w:rPr>
      </w:r>
    </w:p>
    <w:p w:rsidR="00000000" w:rsidDel="00000000" w:rsidP="00000000" w:rsidRDefault="00000000" w:rsidRPr="00000000" w14:paraId="00000010">
      <w:pPr>
        <w:spacing w:after="240" w:before="240"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To address this, we developed a post-deployment oxygen QC (DMQC) procedure to obtain a higher-quality dataset for detecting oxygen signals in the Mediterranean. The QC procedure includes in situ drift analysis along depth layers using two nonparametric methods (RANSAC and Theil–Sen), applying three criteria: a minimum float lifetime, a drift detection threshold, and agreement between the two methods. This procedure aims to correct the shape of the oxygen profiles. Moreover, a QC step based on climatological mean and standard deviation at depth is applied after the drift correction to exclude values exceeding a standard deviation–based threshold.</w:t>
      </w:r>
    </w:p>
    <w:p w:rsidR="00000000" w:rsidDel="00000000" w:rsidP="00000000" w:rsidRDefault="00000000" w:rsidRPr="00000000" w14:paraId="00000011">
      <w:pPr>
        <w:rPr>
          <w:rFonts w:ascii="Aptos" w:cs="Aptos" w:eastAsia="Aptos" w:hAnsi="Aptos"/>
          <w:sz w:val="22"/>
          <w:szCs w:val="22"/>
        </w:rPr>
      </w:pPr>
      <w:r w:rsidDel="00000000" w:rsidR="00000000" w:rsidRPr="00000000">
        <w:rPr>
          <w:rFonts w:ascii="Aptos" w:cs="Aptos" w:eastAsia="Aptos" w:hAnsi="Aptos"/>
          <w:sz w:val="22"/>
          <w:szCs w:val="22"/>
          <w:rtl w:val="0"/>
        </w:rPr>
        <w:t xml:space="preserve">The resulting dataset was compared with its previous version (without the applied QC procedures) and with numerical model outputs to assess the consistency of results when tracking oxygen deoxygenation signals.</w:t>
      </w:r>
    </w:p>
    <w:p w:rsidR="00000000" w:rsidDel="00000000" w:rsidP="00000000" w:rsidRDefault="00000000" w:rsidRPr="00000000" w14:paraId="00000012">
      <w:pPr>
        <w:rPr>
          <w:rFonts w:ascii="Aptos" w:cs="Aptos" w:eastAsia="Aptos" w:hAnsi="Aptos"/>
          <w:sz w:val="22"/>
          <w:szCs w:val="22"/>
        </w:rPr>
      </w:pPr>
      <w:r w:rsidDel="00000000" w:rsidR="00000000" w:rsidRPr="00000000">
        <w:rPr>
          <w:rtl w:val="0"/>
        </w:rPr>
      </w:r>
    </w:p>
    <w:p w:rsidR="00000000" w:rsidDel="00000000" w:rsidP="00000000" w:rsidRDefault="00000000" w:rsidRPr="00000000" w14:paraId="00000013">
      <w:pPr>
        <w:ind w:left="0" w:firstLine="0"/>
        <w:rPr>
          <w:rFonts w:ascii="Aptos" w:cs="Aptos" w:eastAsia="Aptos" w:hAnsi="Aptos"/>
          <w:sz w:val="22"/>
          <w:szCs w:val="22"/>
        </w:rPr>
      </w:pPr>
      <w:r w:rsidDel="00000000" w:rsidR="00000000" w:rsidRPr="00000000">
        <w:rPr>
          <w:rFonts w:ascii="Aptos" w:cs="Aptos" w:eastAsia="Aptos" w:hAnsi="Aptos"/>
          <w:sz w:val="22"/>
          <w:szCs w:val="22"/>
          <w:rtl w:val="0"/>
        </w:rPr>
        <w:t xml:space="preserve">The QC oxygen dataset supports numerical modeling in the Mediterranean operational forecast system (MedBFM, Copernicus). BGC-Argo data are used for data assimilation, model validation, and as input to a 1D CNN (PPCON) to reconstruct nitrate profiles for subsequent assimilation. In this case, additional checks, including range tests, innovation-based QC, are applied prior to data assimilation.</w:t>
      </w:r>
    </w:p>
    <w:sectPr>
      <w:pgSz w:h="16838" w:w="11906" w:orient="portrait"/>
      <w:pgMar w:bottom="1440" w:top="1134" w:left="1800" w:right="180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Dc8TxslLlRVhVcyUGqLmfEw6eg==">CgMxLjA4AHIhMUNvZVZrcndjZ1dfOGNmRFRqcUJfR0RaX3lOaUFKTHFS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2024-12-05T11:08:00Z</dcterms:created>
  <dc:creator>张 苗茵</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