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04F903C9" w:rsidR="00D1293E" w:rsidRPr="00FB38A7" w:rsidRDefault="00CD5ED8" w:rsidP="00D1293E">
      <w:pPr>
        <w:jc w:val="center"/>
        <w:rPr>
          <w:rFonts w:ascii="Aptos" w:hAnsi="Aptos"/>
          <w:b/>
          <w:bCs/>
          <w:sz w:val="24"/>
          <w:szCs w:val="28"/>
        </w:rPr>
      </w:pPr>
      <w:r>
        <w:rPr>
          <w:rFonts w:ascii="Aptos" w:hAnsi="Aptos"/>
          <w:b/>
          <w:bCs/>
          <w:sz w:val="24"/>
          <w:szCs w:val="28"/>
        </w:rPr>
        <w:t>Deterministic and Ensemble forecasts of the Kuroshio south of Japan</w:t>
      </w:r>
    </w:p>
    <w:p w14:paraId="072B1498" w14:textId="77777777" w:rsidR="00D1293E" w:rsidRPr="00FB38A7" w:rsidRDefault="00D1293E" w:rsidP="00D1293E">
      <w:pPr>
        <w:jc w:val="center"/>
        <w:rPr>
          <w:rFonts w:ascii="Aptos" w:hAnsi="Aptos"/>
          <w:b/>
          <w:bCs/>
          <w:sz w:val="22"/>
        </w:rPr>
      </w:pPr>
    </w:p>
    <w:p w14:paraId="5C91ADF2" w14:textId="53BB81C5" w:rsidR="00D9276E" w:rsidRPr="00FB38A7" w:rsidRDefault="00CD5ED8" w:rsidP="00D1293E">
      <w:pPr>
        <w:jc w:val="center"/>
        <w:rPr>
          <w:rFonts w:ascii="Aptos" w:hAnsi="Aptos"/>
          <w:sz w:val="22"/>
          <w:vertAlign w:val="superscript"/>
        </w:rPr>
      </w:pPr>
      <w:r>
        <w:rPr>
          <w:rFonts w:ascii="Aptos" w:hAnsi="Aptos"/>
          <w:sz w:val="22"/>
        </w:rPr>
        <w:t>Shun Ohishi</w:t>
      </w:r>
      <w:r w:rsidR="00B605E2" w:rsidRPr="00FB38A7">
        <w:rPr>
          <w:rFonts w:ascii="Aptos" w:hAnsi="Aptos"/>
          <w:sz w:val="22"/>
          <w:vertAlign w:val="superscript"/>
        </w:rPr>
        <w:t>1</w:t>
      </w:r>
      <w:r w:rsidR="00B605E2" w:rsidRPr="00FB38A7">
        <w:rPr>
          <w:rFonts w:ascii="Aptos" w:hAnsi="Aptos"/>
          <w:sz w:val="22"/>
        </w:rPr>
        <w:t xml:space="preserve">, </w:t>
      </w:r>
      <w:proofErr w:type="spellStart"/>
      <w:r>
        <w:rPr>
          <w:rFonts w:ascii="Aptos" w:hAnsi="Aptos"/>
          <w:sz w:val="22"/>
        </w:rPr>
        <w:t>Takemasa</w:t>
      </w:r>
      <w:proofErr w:type="spellEnd"/>
      <w:r>
        <w:rPr>
          <w:rFonts w:ascii="Aptos" w:hAnsi="Aptos"/>
          <w:sz w:val="22"/>
        </w:rPr>
        <w:t xml:space="preserve"> Miyoshi</w:t>
      </w:r>
      <w:r>
        <w:rPr>
          <w:rFonts w:ascii="Aptos" w:hAnsi="Aptos"/>
          <w:sz w:val="22"/>
          <w:vertAlign w:val="superscript"/>
        </w:rPr>
        <w:t>1</w:t>
      </w:r>
      <w:r w:rsidR="00B605E2" w:rsidRPr="00FB38A7">
        <w:rPr>
          <w:rFonts w:ascii="Aptos" w:hAnsi="Aptos"/>
          <w:sz w:val="22"/>
        </w:rPr>
        <w:t xml:space="preserve">, </w:t>
      </w:r>
      <w:r>
        <w:rPr>
          <w:rFonts w:ascii="Aptos" w:hAnsi="Aptos"/>
          <w:sz w:val="22"/>
        </w:rPr>
        <w:t>Misako Kachi</w:t>
      </w:r>
      <w:r>
        <w:rPr>
          <w:rFonts w:ascii="Aptos" w:hAnsi="Aptos"/>
          <w:sz w:val="22"/>
          <w:vertAlign w:val="superscript"/>
        </w:rPr>
        <w:t>2</w:t>
      </w:r>
    </w:p>
    <w:p w14:paraId="2B4BCEC7" w14:textId="77777777" w:rsidR="00D1293E" w:rsidRPr="00FB38A7" w:rsidRDefault="00D1293E" w:rsidP="00D1293E">
      <w:pPr>
        <w:jc w:val="center"/>
        <w:rPr>
          <w:rFonts w:ascii="Aptos" w:hAnsi="Aptos"/>
          <w:sz w:val="22"/>
          <w:vertAlign w:val="superscript"/>
        </w:rPr>
      </w:pPr>
    </w:p>
    <w:p w14:paraId="5BCB122D" w14:textId="4B4E5D92" w:rsidR="00D9276E" w:rsidRPr="00FB38A7" w:rsidRDefault="00DC0D46" w:rsidP="00D1293E">
      <w:pPr>
        <w:jc w:val="center"/>
        <w:rPr>
          <w:rFonts w:ascii="Aptos" w:hAnsi="Aptos" w:cs="Times New Roman"/>
          <w:sz w:val="22"/>
        </w:rPr>
      </w:pPr>
      <w:r w:rsidRPr="00FB38A7">
        <w:rPr>
          <w:rFonts w:ascii="Aptos" w:hAnsi="Aptos" w:cs="Times New Roman"/>
          <w:sz w:val="22"/>
          <w:vertAlign w:val="superscript"/>
        </w:rPr>
        <w:t>1</w:t>
      </w:r>
      <w:r w:rsidR="00CD5ED8">
        <w:rPr>
          <w:rFonts w:ascii="Aptos" w:hAnsi="Aptos" w:cs="Times New Roman"/>
          <w:sz w:val="22"/>
        </w:rPr>
        <w:t>RIKEN Center for Computational Science</w:t>
      </w:r>
    </w:p>
    <w:p w14:paraId="4731984E" w14:textId="6989D8B2" w:rsidR="00B605E2" w:rsidRPr="00FB38A7" w:rsidRDefault="00DC0D46" w:rsidP="00D1293E">
      <w:pPr>
        <w:jc w:val="center"/>
        <w:rPr>
          <w:rFonts w:ascii="Aptos" w:hAnsi="Aptos" w:cs="Times New Roman"/>
          <w:sz w:val="22"/>
        </w:rPr>
      </w:pPr>
      <w:r w:rsidRPr="00FB38A7">
        <w:rPr>
          <w:rFonts w:ascii="Aptos" w:hAnsi="Aptos" w:cs="Times New Roman"/>
          <w:sz w:val="22"/>
          <w:vertAlign w:val="superscript"/>
        </w:rPr>
        <w:t>2</w:t>
      </w:r>
      <w:r w:rsidR="00CD5ED8">
        <w:rPr>
          <w:rFonts w:ascii="Aptos" w:hAnsi="Aptos" w:cs="Times New Roman"/>
          <w:sz w:val="22"/>
        </w:rPr>
        <w:t>JAXA</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204C2C93" w14:textId="66F8173C" w:rsidR="006D771C" w:rsidRPr="006D771C" w:rsidRDefault="006D771C" w:rsidP="006D771C">
      <w:pPr>
        <w:ind w:firstLine="420"/>
        <w:rPr>
          <w:rFonts w:ascii="Aptos" w:hAnsi="Aptos"/>
          <w:sz w:val="22"/>
        </w:rPr>
      </w:pPr>
      <w:r w:rsidRPr="006D771C">
        <w:rPr>
          <w:rFonts w:ascii="Aptos" w:hAnsi="Aptos"/>
          <w:sz w:val="22"/>
        </w:rPr>
        <w:t>Kuroshio flows eastward along the southern coast of Japan and has a variety of flow paths</w:t>
      </w:r>
      <w:r>
        <w:rPr>
          <w:rFonts w:ascii="Aptos" w:hAnsi="Aptos"/>
          <w:sz w:val="22"/>
        </w:rPr>
        <w:t>,</w:t>
      </w:r>
      <w:r w:rsidRPr="006D771C">
        <w:rPr>
          <w:rFonts w:ascii="Aptos" w:hAnsi="Aptos"/>
          <w:sz w:val="22"/>
        </w:rPr>
        <w:t xml:space="preserve"> such as straight and large meander paths</w:t>
      </w:r>
      <w:r>
        <w:rPr>
          <w:rFonts w:ascii="Aptos" w:hAnsi="Aptos"/>
          <w:sz w:val="22"/>
        </w:rPr>
        <w:t>,</w:t>
      </w:r>
      <w:r w:rsidRPr="006D771C">
        <w:rPr>
          <w:rFonts w:ascii="Aptos" w:hAnsi="Aptos"/>
          <w:sz w:val="22"/>
        </w:rPr>
        <w:t xml:space="preserve"> at an interannual–decadal timescale.</w:t>
      </w:r>
      <w:r w:rsidRPr="006D771C">
        <w:rPr>
          <w:rFonts w:ascii="Aptos" w:hAnsi="Aptos" w:hint="eastAsia"/>
          <w:sz w:val="22"/>
        </w:rPr>
        <w:t xml:space="preserve"> </w:t>
      </w:r>
      <w:r w:rsidRPr="006D771C">
        <w:rPr>
          <w:rFonts w:ascii="Aptos" w:hAnsi="Aptos"/>
          <w:sz w:val="22"/>
        </w:rPr>
        <w:t xml:space="preserve">The Kuroshio path variations cause substantial </w:t>
      </w:r>
      <w:r>
        <w:rPr>
          <w:rFonts w:ascii="Aptos" w:hAnsi="Aptos"/>
          <w:sz w:val="22"/>
        </w:rPr>
        <w:t>impacts on</w:t>
      </w:r>
      <w:r w:rsidRPr="006D771C">
        <w:rPr>
          <w:rFonts w:ascii="Aptos" w:hAnsi="Aptos"/>
          <w:sz w:val="22"/>
        </w:rPr>
        <w:t xml:space="preserve"> the fisheries, marine transport, and marine environment (e.g., Nakata et al. 2000; Barreto et al. 2021). Consequently, Japanese research institutions have conducted Kuroshio </w:t>
      </w:r>
      <w:r w:rsidRPr="006D771C">
        <w:rPr>
          <w:rFonts w:ascii="Aptos" w:hAnsi="Aptos" w:hint="eastAsia"/>
          <w:sz w:val="22"/>
        </w:rPr>
        <w:t>p</w:t>
      </w:r>
      <w:r w:rsidRPr="006D771C">
        <w:rPr>
          <w:rFonts w:ascii="Aptos" w:hAnsi="Aptos"/>
          <w:sz w:val="22"/>
        </w:rPr>
        <w:t xml:space="preserve">ath predictions using regional ocean data assimilation systems with the Kalman filter (Hirose et al. 2013) and the three- and four-dimensional variational methods (Miyazawa et al. 2017; Kuroda et al. 2017; Hirose et al. 2019). However, these </w:t>
      </w:r>
      <w:r>
        <w:rPr>
          <w:rFonts w:ascii="Aptos" w:hAnsi="Aptos"/>
          <w:sz w:val="22"/>
        </w:rPr>
        <w:t xml:space="preserve">systems </w:t>
      </w:r>
      <w:r w:rsidRPr="006D771C">
        <w:rPr>
          <w:rFonts w:ascii="Aptos" w:hAnsi="Aptos"/>
          <w:sz w:val="22"/>
        </w:rPr>
        <w:t>are not designed for ensemble forecasts, and the predictions have been limited to deterministic ones so far.</w:t>
      </w:r>
    </w:p>
    <w:p w14:paraId="2556D42D" w14:textId="77777777" w:rsidR="006D771C" w:rsidRPr="006D771C" w:rsidRDefault="006D771C" w:rsidP="006D771C">
      <w:pPr>
        <w:ind w:firstLine="420"/>
        <w:rPr>
          <w:rFonts w:ascii="Aptos" w:hAnsi="Aptos"/>
          <w:sz w:val="22"/>
        </w:rPr>
      </w:pPr>
      <w:r w:rsidRPr="006D771C">
        <w:rPr>
          <w:rFonts w:ascii="Aptos" w:hAnsi="Aptos"/>
          <w:sz w:val="22"/>
        </w:rPr>
        <w:t>We have developed a new local ensemble transform Kalman filter (LETKF)-based regional ocean data assimilation system (</w:t>
      </w:r>
      <w:proofErr w:type="spellStart"/>
      <w:r w:rsidRPr="006D771C">
        <w:rPr>
          <w:rFonts w:ascii="Aptos" w:hAnsi="Aptos"/>
          <w:sz w:val="22"/>
        </w:rPr>
        <w:t>Ohishi</w:t>
      </w:r>
      <w:proofErr w:type="spellEnd"/>
      <w:r w:rsidRPr="006D771C">
        <w:rPr>
          <w:rFonts w:ascii="Aptos" w:hAnsi="Aptos"/>
          <w:sz w:val="22"/>
        </w:rPr>
        <w:t xml:space="preserve"> et al. 2022a, b) and released ensemble ocean analysis datasets called the LETKF-based Ocean Research Analysis (LORA) for the western North Pacific and Maritime Continent regions (</w:t>
      </w:r>
      <w:proofErr w:type="spellStart"/>
      <w:r w:rsidRPr="006D771C">
        <w:rPr>
          <w:rFonts w:ascii="Aptos" w:hAnsi="Aptos"/>
          <w:sz w:val="22"/>
        </w:rPr>
        <w:t>Ohishi</w:t>
      </w:r>
      <w:proofErr w:type="spellEnd"/>
      <w:r w:rsidRPr="006D771C">
        <w:rPr>
          <w:rFonts w:ascii="Aptos" w:hAnsi="Aptos"/>
          <w:sz w:val="22"/>
        </w:rPr>
        <w:t xml:space="preserve"> et al. 2023). The LORA datasets are shown to have sufficient accuracy for geoscience research, especially in the mid-latitude regions (</w:t>
      </w:r>
      <w:proofErr w:type="spellStart"/>
      <w:r w:rsidRPr="006D771C">
        <w:rPr>
          <w:rFonts w:ascii="Aptos" w:hAnsi="Aptos"/>
          <w:sz w:val="22"/>
        </w:rPr>
        <w:t>Ohishi</w:t>
      </w:r>
      <w:proofErr w:type="spellEnd"/>
      <w:r w:rsidRPr="006D771C">
        <w:rPr>
          <w:rFonts w:ascii="Aptos" w:hAnsi="Aptos"/>
          <w:sz w:val="22"/>
        </w:rPr>
        <w:t xml:space="preserve"> et al. 2023), and therefore, we can perform both deterministic and ensemble forecasts initialized by the LORA. This study aims to compare the predictability of the Kuroshio path south of Japan between deterministic and ensemble forecasts.</w:t>
      </w:r>
    </w:p>
    <w:p w14:paraId="04E35252" w14:textId="5E3BA0EC" w:rsidR="00D9276E" w:rsidRPr="00FB38A7" w:rsidRDefault="006D771C" w:rsidP="006D771C">
      <w:pPr>
        <w:ind w:firstLine="420"/>
        <w:rPr>
          <w:rFonts w:ascii="Aptos" w:hAnsi="Aptos"/>
          <w:sz w:val="22"/>
        </w:rPr>
      </w:pPr>
      <w:r w:rsidRPr="006D771C">
        <w:rPr>
          <w:rFonts w:ascii="Aptos" w:hAnsi="Aptos"/>
          <w:sz w:val="22"/>
        </w:rPr>
        <w:t xml:space="preserve">We performed 6-month deterministic and ensemble forecasts initialized every month on the first day from January 2016–December 2018 (total 36 cases) using the initial conditions of the analysis ensemble mean and 128 analysis ensembles from the LORA dataset, respectively. The results show that the predictability ranges of the Kuroshio path are </w:t>
      </w:r>
      <w:r w:rsidR="006C26C1">
        <w:rPr>
          <w:rFonts w:ascii="Aptos" w:hAnsi="Aptos"/>
          <w:sz w:val="22"/>
        </w:rPr>
        <w:t>74</w:t>
      </w:r>
      <w:r w:rsidRPr="006D771C">
        <w:rPr>
          <w:rFonts w:ascii="Aptos" w:hAnsi="Aptos"/>
          <w:sz w:val="22"/>
        </w:rPr>
        <w:t xml:space="preserve"> and </w:t>
      </w:r>
      <w:r w:rsidR="006C26C1">
        <w:rPr>
          <w:rFonts w:ascii="Aptos" w:hAnsi="Aptos"/>
          <w:sz w:val="22"/>
        </w:rPr>
        <w:t>108</w:t>
      </w:r>
      <w:r w:rsidRPr="006D771C">
        <w:rPr>
          <w:rFonts w:ascii="Aptos" w:hAnsi="Aptos"/>
          <w:sz w:val="22"/>
        </w:rPr>
        <w:t xml:space="preserve"> days in the deterministic and ensemble forecasts, respectively, indicating a significantly longer predictability range of the ensemble forecasts than the deterministic forecasts.</w:t>
      </w:r>
    </w:p>
    <w:sectPr w:rsidR="00D9276E" w:rsidRPr="00FB38A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191BF5"/>
    <w:rsid w:val="002926C3"/>
    <w:rsid w:val="00376A12"/>
    <w:rsid w:val="00510650"/>
    <w:rsid w:val="00514D78"/>
    <w:rsid w:val="00666AF1"/>
    <w:rsid w:val="00673980"/>
    <w:rsid w:val="006B43A3"/>
    <w:rsid w:val="006C26C1"/>
    <w:rsid w:val="006C6BD6"/>
    <w:rsid w:val="006D771C"/>
    <w:rsid w:val="00800C49"/>
    <w:rsid w:val="00904D71"/>
    <w:rsid w:val="00A836A5"/>
    <w:rsid w:val="00B376A9"/>
    <w:rsid w:val="00B507F6"/>
    <w:rsid w:val="00B605E2"/>
    <w:rsid w:val="00BF3361"/>
    <w:rsid w:val="00CD5ED8"/>
    <w:rsid w:val="00D1293E"/>
    <w:rsid w:val="00D246A5"/>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6D771C"/>
    <w:rPr>
      <w:rFonts w:cstheme="minorBidi"/>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Shun OISHI</cp:lastModifiedBy>
  <cp:revision>10</cp:revision>
  <dcterms:created xsi:type="dcterms:W3CDTF">2024-12-05T11:08:00Z</dcterms:created>
  <dcterms:modified xsi:type="dcterms:W3CDTF">2026-02-20T04:27:00Z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