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9" w14:textId="70E6AEFF" w:rsidR="00E45A7C" w:rsidRDefault="00000000">
      <w:pPr>
        <w:rPr>
          <w:highlight w:val="white"/>
        </w:rPr>
      </w:pPr>
      <w:r>
        <w:rPr>
          <w:highlight w:val="white"/>
        </w:rPr>
        <w:t xml:space="preserve">Conventional altimetry has greatly advanced our understanding of mesoscale eddies but falls short in studying </w:t>
      </w:r>
      <w:proofErr w:type="gramStart"/>
      <w:r>
        <w:rPr>
          <w:highlight w:val="white"/>
        </w:rPr>
        <w:t>fine-scale</w:t>
      </w:r>
      <w:proofErr w:type="gramEnd"/>
      <w:r>
        <w:rPr>
          <w:highlight w:val="white"/>
        </w:rPr>
        <w:t xml:space="preserve"> </w:t>
      </w:r>
      <w:proofErr w:type="spellStart"/>
      <w:r>
        <w:rPr>
          <w:highlight w:val="white"/>
        </w:rPr>
        <w:t>submesoscale</w:t>
      </w:r>
      <w:proofErr w:type="spellEnd"/>
      <w:r>
        <w:rPr>
          <w:highlight w:val="white"/>
        </w:rPr>
        <w:t xml:space="preserve"> eddies, fronts and filaments (length</w:t>
      </w:r>
      <w:r w:rsidR="007D153D">
        <w:rPr>
          <w:highlight w:val="white"/>
        </w:rPr>
        <w:t xml:space="preserve"> </w:t>
      </w:r>
      <w:r>
        <w:rPr>
          <w:highlight w:val="white"/>
        </w:rPr>
        <w:t xml:space="preserve">scales &lt;100 km). The newly launched Surface Water and Ocean Topography (SWOT) altimeter, however, with its unprecedented high-resolution capabilities, offers new opportunities to observe fine-scale ocean features. This study presents a comparative analysis between data from SWOT and a suite of observations in the EAC System, (including conventional satellite altimetry, Sea surface temperature fronts, surface drifters, high frequency coastal radar and shipboard current velocity measurements) demonstrating SWOTS ability to resolve fine scale ocean surface dynamics within the EAC system. </w:t>
      </w:r>
    </w:p>
    <w:p w14:paraId="0000000A" w14:textId="5CD45C21" w:rsidR="00E45A7C" w:rsidRDefault="00000000">
      <w:pPr>
        <w:rPr>
          <w:highlight w:val="white"/>
        </w:rPr>
      </w:pPr>
      <w:r>
        <w:rPr>
          <w:highlight w:val="white"/>
        </w:rPr>
        <w:t>Results highlight SWOT’s enhanced spatial resolution and its ability to capture finer-scale variability, particularly in this dynamic western boundary current region. The comparison underscores SWOT’s potential to complement and advance existing ocean observing systems by providing a more detailed view of fine scale ocean circulation, which is essential for characterising and understanding sub mesoscale dynamics and processes.</w:t>
      </w:r>
    </w:p>
    <w:sectPr w:rsidR="00E45A7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FC59BB36-8189-BD44-8856-717A27EDB5F6}"/>
    <w:embedItalic r:id="rId2" w:fontKey="{D6AFDF82-BA31-BB49-8016-C0B6AA16ECB6}"/>
  </w:font>
  <w:font w:name="Times New Roman">
    <w:panose1 w:val="02020603050405020304"/>
    <w:charset w:val="00"/>
    <w:family w:val="roman"/>
    <w:pitch w:val="variable"/>
    <w:sig w:usb0="E0002EFF" w:usb1="C000785B" w:usb2="00000009" w:usb3="00000000" w:csb0="000001FF" w:csb1="00000000"/>
    <w:embedRegular r:id="rId3" w:fontKey="{A9B72CCC-ADE6-E742-A9AB-943852DB71DB}"/>
  </w:font>
  <w:font w:name="Calibri">
    <w:panose1 w:val="020F0502020204030204"/>
    <w:charset w:val="00"/>
    <w:family w:val="swiss"/>
    <w:pitch w:val="variable"/>
    <w:sig w:usb0="E0002AFF" w:usb1="C000ACFF" w:usb2="00000009" w:usb3="00000000" w:csb0="000001FF" w:csb1="00000000"/>
    <w:embedRegular r:id="rId4" w:fontKey="{27F7C952-DCF2-A741-8C45-EEE13E2ABDA4}"/>
  </w:font>
  <w:font w:name="Cambria">
    <w:panose1 w:val="02040503050406030204"/>
    <w:charset w:val="00"/>
    <w:family w:val="roman"/>
    <w:notTrueType/>
    <w:pitch w:val="default"/>
    <w:embedRegular r:id="rId5" w:fontKey="{3E65C10B-2345-264B-9396-F848D68EDE4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A7C"/>
    <w:rsid w:val="007D153D"/>
    <w:rsid w:val="00E23ABF"/>
    <w:rsid w:val="00E45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D91AD2"/>
  <w15:docId w15:val="{38293D50-C6B8-BD48-991D-7BEFE77C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Marina Do Valle Chagas Azaneu (ENV - Visitor)</cp:lastModifiedBy>
  <cp:revision>2</cp:revision>
  <dcterms:created xsi:type="dcterms:W3CDTF">2026-03-27T03:28:00Z</dcterms:created>
  <dcterms:modified xsi:type="dcterms:W3CDTF">2026-03-27T03:28:00Z</dcterms:modified>
</cp:coreProperties>
</file>