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BA019" w14:textId="77777777" w:rsidR="00AE63FC" w:rsidRDefault="00AE63FC" w:rsidP="00AE63FC">
      <w:pPr>
        <w:widowControl/>
        <w:jc w:val="center"/>
        <w:rPr>
          <w:rFonts w:ascii="Arial" w:eastAsia="ＭＳ Ｐゴシック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AE63FC">
        <w:rPr>
          <w:rFonts w:ascii="Arial" w:eastAsia="ＭＳ Ｐゴシック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Fourier Neural Operator-based Sensitivity Analysis </w:t>
      </w:r>
    </w:p>
    <w:p w14:paraId="7E1AA569" w14:textId="1DB47CFC" w:rsidR="00AE63FC" w:rsidRPr="00AE63FC" w:rsidRDefault="00AE63FC" w:rsidP="00AE63FC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AE63FC">
        <w:rPr>
          <w:rFonts w:ascii="Arial" w:eastAsia="ＭＳ Ｐゴシック" w:hAnsi="Arial" w:cs="Arial"/>
          <w:b/>
          <w:bCs/>
          <w:color w:val="000000"/>
          <w:kern w:val="0"/>
          <w:sz w:val="22"/>
          <w:szCs w:val="22"/>
          <w14:ligatures w14:val="none"/>
        </w:rPr>
        <w:t>for Nonlinear Dynamical Systems</w:t>
      </w:r>
    </w:p>
    <w:p w14:paraId="5F489A64" w14:textId="77777777" w:rsidR="00AE63FC" w:rsidRPr="00AE63FC" w:rsidRDefault="00AE63FC" w:rsidP="00AE63FC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7F57D8A6" w14:textId="0EAE5FD7" w:rsidR="00AE63FC" w:rsidRPr="00AE63FC" w:rsidRDefault="00AE63FC" w:rsidP="00AE63FC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vertAlign w:val="superscript"/>
          <w14:ligatures w14:val="none"/>
        </w:rPr>
      </w:pPr>
      <w:r w:rsidRPr="00AE63F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Minori FUKUSHIMA</w:t>
      </w:r>
      <w:r>
        <w:rPr>
          <w:rFonts w:ascii="Arial" w:eastAsia="ＭＳ Ｐゴシック" w:hAnsi="Arial" w:cs="Arial"/>
          <w:color w:val="000000"/>
          <w:kern w:val="0"/>
          <w:sz w:val="22"/>
          <w:szCs w:val="22"/>
          <w:vertAlign w:val="superscript"/>
          <w14:ligatures w14:val="none"/>
        </w:rPr>
        <w:t>1</w:t>
      </w:r>
      <w:r w:rsidRPr="00AE63F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, Takeshi ENOMOTO</w:t>
      </w:r>
      <w:r>
        <w:rPr>
          <w:rFonts w:ascii="Arial" w:eastAsia="ＭＳ Ｐゴシック" w:hAnsi="Arial" w:cs="Arial"/>
          <w:color w:val="000000"/>
          <w:kern w:val="0"/>
          <w:sz w:val="22"/>
          <w:szCs w:val="22"/>
          <w:vertAlign w:val="superscript"/>
          <w14:ligatures w14:val="none"/>
        </w:rPr>
        <w:t>2</w:t>
      </w:r>
    </w:p>
    <w:p w14:paraId="681F4ED7" w14:textId="77777777" w:rsidR="00AE63FC" w:rsidRPr="00AE63FC" w:rsidRDefault="00AE63FC" w:rsidP="00AE63FC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4207596" w14:textId="491D1EE8" w:rsidR="00AE63FC" w:rsidRPr="00AE63FC" w:rsidRDefault="00AE63FC" w:rsidP="00AE63FC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Arial" w:eastAsia="ＭＳ Ｐゴシック" w:hAnsi="Arial" w:cs="Arial"/>
          <w:color w:val="000000"/>
          <w:kern w:val="0"/>
          <w:sz w:val="22"/>
          <w:szCs w:val="22"/>
          <w:vertAlign w:val="superscript"/>
          <w14:ligatures w14:val="none"/>
        </w:rPr>
        <w:t>1</w:t>
      </w:r>
      <w:r w:rsidRPr="00AE63F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Graduate School of Science, Kyoto University</w:t>
      </w:r>
    </w:p>
    <w:p w14:paraId="3C4BA90D" w14:textId="722C0479" w:rsidR="00AE63FC" w:rsidRPr="00AE63FC" w:rsidRDefault="00AE63FC" w:rsidP="00AE63FC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>
        <w:rPr>
          <w:rFonts w:ascii="Arial" w:eastAsia="ＭＳ Ｐゴシック" w:hAnsi="Arial" w:cs="Arial"/>
          <w:color w:val="000000"/>
          <w:kern w:val="0"/>
          <w:sz w:val="22"/>
          <w:szCs w:val="22"/>
          <w:vertAlign w:val="superscript"/>
          <w14:ligatures w14:val="none"/>
        </w:rPr>
        <w:t>2</w:t>
      </w:r>
      <w:r w:rsidRPr="00AE63F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Disaster Prevention Research Institute, Kyoto University</w:t>
      </w:r>
    </w:p>
    <w:p w14:paraId="3DA11BFC" w14:textId="77777777" w:rsidR="00AE63FC" w:rsidRPr="00AE63FC" w:rsidRDefault="00AE63FC" w:rsidP="00AE63FC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68BB583A" w14:textId="77777777" w:rsidR="00AE63FC" w:rsidRPr="00AE63FC" w:rsidRDefault="00AE63FC" w:rsidP="00AE63FC">
      <w:pPr>
        <w:widowControl/>
        <w:spacing w:before="240" w:after="240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AE63FC">
        <w:rPr>
          <w:rFonts w:ascii="Arial" w:eastAsia="ＭＳ Ｐゴシック" w:hAnsi="Arial" w:cs="Arial"/>
          <w:b/>
          <w:bCs/>
          <w:color w:val="000000"/>
          <w:kern w:val="0"/>
          <w:sz w:val="22"/>
          <w:szCs w:val="22"/>
          <w14:ligatures w14:val="none"/>
        </w:rPr>
        <w:t>Abstract</w:t>
      </w:r>
    </w:p>
    <w:p w14:paraId="7634A66C" w14:textId="77777777" w:rsidR="00AE63FC" w:rsidRPr="00AE63FC" w:rsidRDefault="00AE63FC" w:rsidP="00AE63FC">
      <w:pPr>
        <w:widowControl/>
        <w:spacing w:before="240" w:after="240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AE63F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This study aims to advance sensitivity analysis for strongly non-linear atmospheric and oceanic systems. Conventional adjoint-based sensitivity analysis relies on a tangent-linear approximation, which often breaks down as non-linear effects accumulate during model evolution. Moreover, constructing and maintaining adjoint models for complex geophysical systems remains technically demanding and time-consuming. To address these challenges, we investigate the potential of the Fourier Neural Operator (FNO) as a differentiable surrogate capable of estimating sensitivities directly from non-linear data through automatic differentiation.</w:t>
      </w:r>
    </w:p>
    <w:p w14:paraId="5CE17904" w14:textId="77777777" w:rsidR="00AE63FC" w:rsidRPr="00AE63FC" w:rsidRDefault="00AE63FC" w:rsidP="00AE63FC">
      <w:pPr>
        <w:widowControl/>
        <w:spacing w:before="240" w:after="240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AE63F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Using the Lorenz</w:t>
      </w:r>
      <w:r w:rsidRPr="00AE63F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noBreakHyphen/>
        <w:t>96 system as an initial testbed, we show that FNO-derived gradients can approximate adjoint sensitivities in weakly non-linear regimes, while also suggesting a complementary pathway for capturing non-linear sensitivity structures that linear methods may overlook. A key finding is that training on continuous time-series data is essential for obtaining physically meaningful gradients, highlighting the importance of learning the underlying dynamical evolution rather than only endpoint mappings.</w:t>
      </w:r>
    </w:p>
    <w:p w14:paraId="50EC6AFD" w14:textId="77777777" w:rsidR="00AE63FC" w:rsidRPr="00AE63FC" w:rsidRDefault="00AE63FC" w:rsidP="00AE63FC">
      <w:pPr>
        <w:widowControl/>
        <w:spacing w:before="240" w:after="240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AE63FC">
        <w:rPr>
          <w:rFonts w:ascii="Arial" w:eastAsia="ＭＳ Ｐゴシック" w:hAnsi="Arial" w:cs="Arial"/>
          <w:color w:val="000000"/>
          <w:kern w:val="0"/>
          <w:sz w:val="22"/>
          <w:szCs w:val="22"/>
          <w14:ligatures w14:val="none"/>
        </w:rPr>
        <w:t>Motivated by these encouraging results, we extend this framework toward more realistic oceanic flows, with a particular focus on identifying sensitive regions for variables such as sea-surface temperature and upper-ocean dynamical fields. Such data-driven, differentiable surrogates offer a scalable alternative to manual adjoint development by enabling efficient assessment of how perturbations propagate through non-linear dynamics.</w:t>
      </w:r>
    </w:p>
    <w:p w14:paraId="18D15244" w14:textId="77777777" w:rsidR="00AE63FC" w:rsidRPr="00AE63FC" w:rsidRDefault="00AE63FC" w:rsidP="00AE63FC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5C6DFDD4" w14:textId="77777777" w:rsidR="00C60A91" w:rsidRPr="00AE63FC" w:rsidRDefault="00C60A91"/>
    <w:sectPr w:rsidR="00C60A91" w:rsidRPr="00AE63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FC"/>
    <w:rsid w:val="003F7CAA"/>
    <w:rsid w:val="00437AF8"/>
    <w:rsid w:val="00AE63FC"/>
    <w:rsid w:val="00BE3560"/>
    <w:rsid w:val="00C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D84760"/>
  <w15:chartTrackingRefBased/>
  <w15:docId w15:val="{4ACE0E8C-290D-134B-B5B2-6420CE57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3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3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3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3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3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3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3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3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63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63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63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E6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6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6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6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63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63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63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6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3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63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63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63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63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63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6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63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63FC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AE63F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1598</Characters>
  <Application>Microsoft Office Word</Application>
  <DocSecurity>0</DocSecurity>
  <Lines>31</Lines>
  <Paragraphs>9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fukushima.minori.22s@st.kyoto-u.ac.jp</dc:creator>
  <cp:keywords/>
  <dc:description/>
  <cp:lastModifiedBy>fukushima.minori.22s@st.kyoto-u.ac.jp</cp:lastModifiedBy>
  <cp:revision>1</cp:revision>
  <dcterms:created xsi:type="dcterms:W3CDTF">2026-03-27T13:59:00Z</dcterms:created>
  <dcterms:modified xsi:type="dcterms:W3CDTF">2026-03-27T14:02:00Z</dcterms:modified>
</cp:coreProperties>
</file>