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B1498" w14:textId="3C376D61" w:rsidR="00D1293E" w:rsidRDefault="00683DCD" w:rsidP="00D1293E">
      <w:pPr>
        <w:jc w:val="center"/>
        <w:rPr>
          <w:rFonts w:ascii="Aptos" w:eastAsia="游明朝" w:hAnsi="Aptos"/>
          <w:b/>
          <w:bCs/>
          <w:sz w:val="24"/>
          <w:szCs w:val="28"/>
          <w:lang w:eastAsia="ja-JP"/>
        </w:rPr>
      </w:pPr>
      <w:r w:rsidRPr="00683DCD">
        <w:rPr>
          <w:rFonts w:ascii="Aptos" w:hAnsi="Aptos"/>
          <w:b/>
          <w:bCs/>
          <w:sz w:val="24"/>
          <w:szCs w:val="28"/>
        </w:rPr>
        <w:t>Effects of Spatial Constraint on Clustering-Based Sea-Surface Observation Targeting for Typhoon Forecasting</w:t>
      </w:r>
    </w:p>
    <w:p w14:paraId="087EF64A" w14:textId="77777777" w:rsidR="00683DCD" w:rsidRPr="00683DCD" w:rsidRDefault="00683DCD" w:rsidP="00D1293E">
      <w:pPr>
        <w:jc w:val="center"/>
        <w:rPr>
          <w:rFonts w:ascii="Aptos" w:eastAsia="游明朝" w:hAnsi="Aptos"/>
          <w:b/>
          <w:bCs/>
          <w:sz w:val="22"/>
          <w:lang w:eastAsia="ja-JP"/>
        </w:rPr>
      </w:pPr>
    </w:p>
    <w:p w14:paraId="2B4BCEC7" w14:textId="384DC4F1" w:rsidR="00D1293E" w:rsidRDefault="00683DCD" w:rsidP="00D1293E">
      <w:pPr>
        <w:jc w:val="center"/>
        <w:rPr>
          <w:rFonts w:ascii="Aptos" w:eastAsia="游明朝" w:hAnsi="Aptos"/>
          <w:sz w:val="22"/>
          <w:lang w:eastAsia="ja-JP"/>
        </w:rPr>
      </w:pPr>
      <w:r w:rsidRPr="00683DCD">
        <w:rPr>
          <w:rFonts w:ascii="Aptos" w:hAnsi="Aptos"/>
          <w:sz w:val="22"/>
        </w:rPr>
        <w:t>Yusuke Umemiya</w:t>
      </w:r>
      <w:r w:rsidRPr="00683DCD">
        <w:rPr>
          <w:rFonts w:ascii="Aptos" w:hAnsi="Aptos"/>
          <w:sz w:val="22"/>
          <w:vertAlign w:val="superscript"/>
        </w:rPr>
        <w:t>1</w:t>
      </w:r>
      <w:r w:rsidRPr="00683DCD">
        <w:rPr>
          <w:rFonts w:ascii="Aptos" w:hAnsi="Aptos"/>
          <w:sz w:val="22"/>
        </w:rPr>
        <w:t>, Kosuke Ito</w:t>
      </w:r>
      <w:r w:rsidRPr="00683DCD">
        <w:rPr>
          <w:rFonts w:ascii="Aptos" w:hAnsi="Aptos"/>
          <w:sz w:val="22"/>
          <w:vertAlign w:val="superscript"/>
        </w:rPr>
        <w:t>3, 2</w:t>
      </w:r>
      <w:r w:rsidRPr="00683DCD">
        <w:rPr>
          <w:rFonts w:ascii="Aptos" w:hAnsi="Aptos"/>
          <w:sz w:val="22"/>
        </w:rPr>
        <w:t>, Naoko Kosaka</w:t>
      </w:r>
      <w:r w:rsidRPr="00683DCD">
        <w:rPr>
          <w:rFonts w:ascii="Aptos" w:hAnsi="Aptos"/>
          <w:sz w:val="22"/>
          <w:vertAlign w:val="superscript"/>
        </w:rPr>
        <w:t>1, 2</w:t>
      </w:r>
      <w:r w:rsidRPr="00683DCD">
        <w:rPr>
          <w:rFonts w:ascii="Aptos" w:hAnsi="Aptos"/>
          <w:sz w:val="22"/>
        </w:rPr>
        <w:t>, Tsuneko Kura</w:t>
      </w:r>
      <w:r w:rsidRPr="00683DCD">
        <w:rPr>
          <w:rFonts w:ascii="Aptos" w:hAnsi="Aptos"/>
          <w:sz w:val="22"/>
          <w:vertAlign w:val="superscript"/>
        </w:rPr>
        <w:t>1</w:t>
      </w:r>
      <w:r w:rsidRPr="00683DCD">
        <w:rPr>
          <w:rFonts w:ascii="Aptos" w:hAnsi="Aptos"/>
          <w:sz w:val="22"/>
        </w:rPr>
        <w:t>, Toshiyuki Bandai</w:t>
      </w:r>
      <w:r w:rsidRPr="00683DCD">
        <w:rPr>
          <w:rFonts w:ascii="Aptos" w:hAnsi="Aptos"/>
          <w:sz w:val="22"/>
          <w:vertAlign w:val="superscript"/>
        </w:rPr>
        <w:t>1</w:t>
      </w:r>
      <w:r w:rsidRPr="00683DCD">
        <w:rPr>
          <w:rFonts w:ascii="Aptos" w:hAnsi="Aptos"/>
          <w:sz w:val="22"/>
        </w:rPr>
        <w:t>, Gota Yamasaki</w:t>
      </w:r>
      <w:r w:rsidRPr="00683DCD">
        <w:rPr>
          <w:rFonts w:ascii="Aptos" w:hAnsi="Aptos"/>
          <w:sz w:val="22"/>
          <w:vertAlign w:val="superscript"/>
        </w:rPr>
        <w:t>1</w:t>
      </w:r>
      <w:r w:rsidRPr="00683DCD">
        <w:rPr>
          <w:rFonts w:ascii="Aptos" w:hAnsi="Aptos"/>
          <w:sz w:val="22"/>
        </w:rPr>
        <w:t>, Hiroshi Matsubara</w:t>
      </w:r>
      <w:r w:rsidRPr="00683DCD">
        <w:rPr>
          <w:rFonts w:ascii="Aptos" w:hAnsi="Aptos"/>
          <w:sz w:val="22"/>
          <w:vertAlign w:val="superscript"/>
        </w:rPr>
        <w:t>1</w:t>
      </w:r>
      <w:r w:rsidRPr="00683DCD">
        <w:rPr>
          <w:rFonts w:ascii="Aptos" w:hAnsi="Aptos"/>
          <w:sz w:val="22"/>
        </w:rPr>
        <w:t>, Satoshi Mitarai</w:t>
      </w:r>
      <w:r w:rsidRPr="00683DCD">
        <w:rPr>
          <w:rFonts w:ascii="Aptos" w:hAnsi="Aptos"/>
          <w:sz w:val="22"/>
          <w:vertAlign w:val="superscript"/>
        </w:rPr>
        <w:t>4, 2</w:t>
      </w:r>
      <w:r w:rsidRPr="00683DCD">
        <w:rPr>
          <w:rFonts w:ascii="Aptos" w:hAnsi="Aptos"/>
          <w:sz w:val="22"/>
        </w:rPr>
        <w:t>, Daiki Suzuki</w:t>
      </w:r>
      <w:r w:rsidRPr="00683DCD">
        <w:rPr>
          <w:rFonts w:ascii="Aptos" w:hAnsi="Aptos"/>
          <w:sz w:val="22"/>
          <w:vertAlign w:val="superscript"/>
        </w:rPr>
        <w:t>2</w:t>
      </w:r>
      <w:r w:rsidRPr="00683DCD">
        <w:rPr>
          <w:rFonts w:ascii="Aptos" w:hAnsi="Aptos"/>
          <w:sz w:val="22"/>
        </w:rPr>
        <w:t xml:space="preserve"> and Hironori Fudeyasu</w:t>
      </w:r>
      <w:r w:rsidRPr="00683DCD">
        <w:rPr>
          <w:rFonts w:ascii="Aptos" w:hAnsi="Aptos"/>
          <w:sz w:val="22"/>
          <w:vertAlign w:val="superscript"/>
        </w:rPr>
        <w:t>2</w:t>
      </w:r>
    </w:p>
    <w:p w14:paraId="0017680F" w14:textId="77777777" w:rsidR="00683DCD" w:rsidRPr="00683DCD" w:rsidRDefault="00683DCD" w:rsidP="00D1293E">
      <w:pPr>
        <w:jc w:val="center"/>
        <w:rPr>
          <w:rFonts w:ascii="Aptos" w:eastAsia="游明朝" w:hAnsi="Aptos"/>
          <w:sz w:val="22"/>
          <w:vertAlign w:val="superscript"/>
          <w:lang w:eastAsia="ja-JP"/>
        </w:rPr>
      </w:pPr>
    </w:p>
    <w:p w14:paraId="4D36E90A" w14:textId="51C65AE2" w:rsidR="00D1293E" w:rsidRPr="00683DCD" w:rsidRDefault="00683DCD" w:rsidP="00D1293E">
      <w:pPr>
        <w:jc w:val="center"/>
        <w:rPr>
          <w:rFonts w:ascii="Aptos" w:hAnsi="Aptos" w:cs="Times New Roman"/>
          <w:sz w:val="22"/>
        </w:rPr>
      </w:pPr>
      <w:r w:rsidRPr="00683DCD">
        <w:rPr>
          <w:rFonts w:ascii="Aptos" w:hAnsi="Aptos" w:cs="Times New Roman"/>
          <w:sz w:val="22"/>
          <w:vertAlign w:val="superscript"/>
        </w:rPr>
        <w:t>1</w:t>
      </w:r>
      <w:r w:rsidRPr="00683DCD">
        <w:rPr>
          <w:rFonts w:ascii="Aptos" w:hAnsi="Aptos" w:cs="Times New Roman"/>
          <w:sz w:val="22"/>
        </w:rPr>
        <w:t xml:space="preserve">NTT, Inc., Japan; </w:t>
      </w:r>
      <w:r w:rsidRPr="00683DCD">
        <w:rPr>
          <w:rFonts w:ascii="Aptos" w:hAnsi="Aptos" w:cs="Times New Roman"/>
          <w:sz w:val="22"/>
          <w:vertAlign w:val="superscript"/>
        </w:rPr>
        <w:t>2</w:t>
      </w:r>
      <w:r w:rsidRPr="00683DCD">
        <w:rPr>
          <w:rFonts w:ascii="Aptos" w:hAnsi="Aptos" w:cs="Times New Roman"/>
          <w:sz w:val="22"/>
        </w:rPr>
        <w:t xml:space="preserve">Typhoon Science and Technology Research Center, Yokohama National University, Japan; </w:t>
      </w:r>
      <w:r w:rsidRPr="00683DCD">
        <w:rPr>
          <w:rFonts w:ascii="Aptos" w:hAnsi="Aptos" w:cs="Times New Roman"/>
          <w:sz w:val="22"/>
          <w:vertAlign w:val="superscript"/>
        </w:rPr>
        <w:t>3</w:t>
      </w:r>
      <w:r w:rsidRPr="00683DCD">
        <w:rPr>
          <w:rFonts w:ascii="Aptos" w:hAnsi="Aptos" w:cs="Times New Roman"/>
          <w:sz w:val="22"/>
        </w:rPr>
        <w:t xml:space="preserve">Kyoto University, Japan; </w:t>
      </w:r>
      <w:r w:rsidRPr="00683DCD">
        <w:rPr>
          <w:rFonts w:ascii="Aptos" w:hAnsi="Aptos" w:cs="Times New Roman"/>
          <w:sz w:val="22"/>
          <w:vertAlign w:val="superscript"/>
        </w:rPr>
        <w:t>4</w:t>
      </w:r>
      <w:r w:rsidRPr="00683DCD">
        <w:rPr>
          <w:rFonts w:ascii="Aptos" w:hAnsi="Aptos" w:cs="Times New Roman"/>
          <w:sz w:val="22"/>
        </w:rPr>
        <w:t>Okinawa Institute of Science and Technology Graduate University, Japan</w:t>
      </w:r>
    </w:p>
    <w:p w14:paraId="642921BF" w14:textId="77777777" w:rsidR="00D1293E" w:rsidRPr="00FB38A7" w:rsidRDefault="00D1293E" w:rsidP="00D1293E">
      <w:pPr>
        <w:rPr>
          <w:rFonts w:ascii="Aptos" w:hAnsi="Aptos" w:cs="Times New Roman"/>
          <w:sz w:val="22"/>
        </w:rPr>
      </w:pPr>
    </w:p>
    <w:p w14:paraId="18852C74" w14:textId="77777777" w:rsidR="00D9276E" w:rsidRPr="00FB38A7" w:rsidRDefault="00510650" w:rsidP="00D1293E">
      <w:pPr>
        <w:rPr>
          <w:rFonts w:ascii="Aptos" w:hAnsi="Aptos"/>
          <w:b/>
          <w:bCs/>
          <w:sz w:val="22"/>
        </w:rPr>
      </w:pPr>
      <w:r w:rsidRPr="00FB38A7">
        <w:rPr>
          <w:rFonts w:ascii="Aptos" w:hAnsi="Aptos"/>
          <w:b/>
          <w:bCs/>
          <w:sz w:val="22"/>
        </w:rPr>
        <w:t>Abstract</w:t>
      </w:r>
    </w:p>
    <w:p w14:paraId="4B617558" w14:textId="050FA1E2" w:rsidR="008748FA" w:rsidRPr="008748FA" w:rsidRDefault="008748FA" w:rsidP="008748FA">
      <w:pPr>
        <w:rPr>
          <w:rFonts w:ascii="Aptos" w:hAnsi="Aptos"/>
          <w:sz w:val="22"/>
        </w:rPr>
      </w:pPr>
      <w:r w:rsidRPr="008748FA">
        <w:rPr>
          <w:rFonts w:ascii="Aptos" w:hAnsi="Aptos"/>
          <w:sz w:val="22"/>
        </w:rPr>
        <w:t xml:space="preserve">Accurate typhoon forecasting requires effective deployment of limited in situ observations over the ocean, especially where satellite </w:t>
      </w:r>
      <w:r>
        <w:rPr>
          <w:rFonts w:ascii="Aptos" w:eastAsia="游明朝" w:hAnsi="Aptos" w:hint="eastAsia"/>
          <w:sz w:val="22"/>
          <w:lang w:eastAsia="ja-JP"/>
        </w:rPr>
        <w:t xml:space="preserve">remote </w:t>
      </w:r>
      <w:r>
        <w:rPr>
          <w:rFonts w:ascii="Aptos" w:eastAsia="游明朝" w:hAnsi="Aptos"/>
          <w:sz w:val="22"/>
          <w:lang w:eastAsia="ja-JP"/>
        </w:rPr>
        <w:t>sensing</w:t>
      </w:r>
      <w:r w:rsidRPr="008748FA">
        <w:rPr>
          <w:rFonts w:ascii="Aptos" w:hAnsi="Aptos"/>
          <w:sz w:val="22"/>
        </w:rPr>
        <w:t xml:space="preserve"> </w:t>
      </w:r>
      <w:r>
        <w:rPr>
          <w:rFonts w:ascii="Aptos" w:eastAsia="游明朝" w:hAnsi="Aptos" w:hint="eastAsia"/>
          <w:sz w:val="22"/>
          <w:lang w:eastAsia="ja-JP"/>
        </w:rPr>
        <w:t>is</w:t>
      </w:r>
      <w:r w:rsidRPr="008748FA">
        <w:rPr>
          <w:rFonts w:ascii="Aptos" w:hAnsi="Aptos"/>
          <w:sz w:val="22"/>
        </w:rPr>
        <w:t xml:space="preserve"> degraded near the storm inner core and under heavy precipitation. Since 2021, we have conducted sea-surface atmospheric observations southeast of Okinawa using autonomous surface vehicles and buoys. To support future sustained typhoon observations, we seek to establish an effective method for identifying observation locations with high forecast impact.</w:t>
      </w:r>
    </w:p>
    <w:p w14:paraId="74DF8E8D" w14:textId="77777777" w:rsidR="008748FA" w:rsidRPr="008748FA" w:rsidRDefault="008748FA" w:rsidP="008748FA">
      <w:pPr>
        <w:rPr>
          <w:rFonts w:ascii="Aptos" w:hAnsi="Aptos"/>
          <w:sz w:val="22"/>
        </w:rPr>
      </w:pPr>
    </w:p>
    <w:p w14:paraId="3F6CB268" w14:textId="5F4AF0E4" w:rsidR="008748FA" w:rsidRPr="008748FA" w:rsidRDefault="008748FA" w:rsidP="008748FA">
      <w:pPr>
        <w:rPr>
          <w:rFonts w:ascii="Aptos" w:hAnsi="Aptos"/>
          <w:sz w:val="22"/>
        </w:rPr>
      </w:pPr>
      <w:r w:rsidRPr="008748FA">
        <w:rPr>
          <w:rFonts w:ascii="Aptos" w:hAnsi="Aptos"/>
          <w:sz w:val="22"/>
        </w:rPr>
        <w:t xml:space="preserve">In this study, we use Typhoon Hinnamnor (2022), which was one of the typhoons observed in our field </w:t>
      </w:r>
      <w:r w:rsidR="00895B95">
        <w:rPr>
          <w:rFonts w:ascii="Aptos" w:eastAsia="游明朝" w:hAnsi="Aptos" w:hint="eastAsia"/>
          <w:sz w:val="22"/>
          <w:lang w:eastAsia="ja-JP"/>
        </w:rPr>
        <w:t>observations</w:t>
      </w:r>
      <w:r w:rsidRPr="008748FA">
        <w:rPr>
          <w:rFonts w:ascii="Aptos" w:hAnsi="Aptos"/>
          <w:sz w:val="22"/>
        </w:rPr>
        <w:t xml:space="preserve">, as a case study and conduct simulation-based targeted observation experiments. We apply adjoint sensitivity analysis using the </w:t>
      </w:r>
      <w:r w:rsidR="00895B95">
        <w:rPr>
          <w:rFonts w:ascii="Aptos" w:eastAsia="游明朝" w:hAnsi="Aptos" w:hint="eastAsia"/>
          <w:sz w:val="22"/>
          <w:lang w:eastAsia="ja-JP"/>
        </w:rPr>
        <w:t xml:space="preserve">15-km resolution </w:t>
      </w:r>
      <w:r w:rsidRPr="008748FA">
        <w:rPr>
          <w:rFonts w:ascii="Aptos" w:hAnsi="Aptos"/>
          <w:sz w:val="22"/>
        </w:rPr>
        <w:t xml:space="preserve">Weather Research and Forecasting model (WRF-ARW) and its data assimilation system (WRFDA) to evaluate sensitivities of the 6-h forecast central pressure, defined as the </w:t>
      </w:r>
      <w:r w:rsidR="00895B95" w:rsidRPr="00895B95">
        <w:rPr>
          <w:rFonts w:ascii="Aptos" w:hAnsi="Aptos"/>
          <w:sz w:val="22"/>
        </w:rPr>
        <w:t>minimum pressure at the lowest model level within 100 km of the storm center</w:t>
      </w:r>
      <w:r w:rsidRPr="008748FA">
        <w:rPr>
          <w:rFonts w:ascii="Aptos" w:hAnsi="Aptos"/>
          <w:sz w:val="22"/>
        </w:rPr>
        <w:t>, to initial perturbations in pressure.</w:t>
      </w:r>
    </w:p>
    <w:p w14:paraId="48050AEF" w14:textId="77777777" w:rsidR="008748FA" w:rsidRPr="008748FA" w:rsidRDefault="008748FA" w:rsidP="008748FA">
      <w:pPr>
        <w:rPr>
          <w:rFonts w:ascii="Aptos" w:hAnsi="Aptos"/>
          <w:sz w:val="22"/>
        </w:rPr>
      </w:pPr>
    </w:p>
    <w:p w14:paraId="048153C9" w14:textId="2BBAFB9B" w:rsidR="008748FA" w:rsidRPr="008748FA" w:rsidRDefault="008748FA" w:rsidP="008748FA">
      <w:pPr>
        <w:rPr>
          <w:rFonts w:ascii="Aptos" w:hAnsi="Aptos"/>
          <w:sz w:val="22"/>
        </w:rPr>
      </w:pPr>
      <w:r w:rsidRPr="008748FA">
        <w:rPr>
          <w:rFonts w:ascii="Aptos" w:hAnsi="Aptos"/>
          <w:sz w:val="22"/>
        </w:rPr>
        <w:t>In our</w:t>
      </w:r>
      <w:r w:rsidR="00895B95">
        <w:rPr>
          <w:rFonts w:ascii="Aptos" w:eastAsia="游明朝" w:hAnsi="Aptos" w:hint="eastAsia"/>
          <w:sz w:val="22"/>
          <w:lang w:eastAsia="ja-JP"/>
        </w:rPr>
        <w:t xml:space="preserve"> </w:t>
      </w:r>
      <w:r w:rsidRPr="008748FA">
        <w:rPr>
          <w:rFonts w:ascii="Aptos" w:hAnsi="Aptos"/>
          <w:sz w:val="22"/>
        </w:rPr>
        <w:t xml:space="preserve">work, clustering was introduced to reduce spatial redundancy among sensitivity-ranked candidate points. </w:t>
      </w:r>
      <w:r w:rsidR="00895B95">
        <w:rPr>
          <w:rFonts w:ascii="Aptos" w:eastAsia="游明朝" w:hAnsi="Aptos" w:hint="eastAsia"/>
          <w:sz w:val="22"/>
          <w:lang w:eastAsia="ja-JP"/>
        </w:rPr>
        <w:t>In this presentation, w</w:t>
      </w:r>
      <w:r w:rsidRPr="008748FA">
        <w:rPr>
          <w:rFonts w:ascii="Aptos" w:hAnsi="Aptos"/>
          <w:sz w:val="22"/>
        </w:rPr>
        <w:t xml:space="preserve">e further examine the effect of imposing a spatial constraint on the clustering domain. Specifically, the sensitivity distribution is used to define candidate observation locations, and clustering is applied only within the strong-wind region. From this constrained domain, five representative points are selected, and synthetic sea-surface temperature and pressure observations at those points are assimilated in </w:t>
      </w:r>
      <w:r w:rsidR="00895B95">
        <w:rPr>
          <w:rFonts w:ascii="Aptos" w:eastAsia="游明朝" w:hAnsi="Aptos" w:hint="eastAsia"/>
          <w:sz w:val="22"/>
          <w:lang w:eastAsia="ja-JP"/>
        </w:rPr>
        <w:t>observing system simulation experiments (</w:t>
      </w:r>
      <w:r w:rsidRPr="008748FA">
        <w:rPr>
          <w:rFonts w:ascii="Aptos" w:hAnsi="Aptos"/>
          <w:sz w:val="22"/>
        </w:rPr>
        <w:t>OSSEs</w:t>
      </w:r>
      <w:r w:rsidR="00895B95">
        <w:rPr>
          <w:rFonts w:ascii="Aptos" w:eastAsia="游明朝" w:hAnsi="Aptos" w:hint="eastAsia"/>
          <w:sz w:val="22"/>
          <w:lang w:eastAsia="ja-JP"/>
        </w:rPr>
        <w:t>)</w:t>
      </w:r>
      <w:r w:rsidRPr="008748FA">
        <w:rPr>
          <w:rFonts w:ascii="Aptos" w:hAnsi="Aptos"/>
          <w:sz w:val="22"/>
        </w:rPr>
        <w:t>.</w:t>
      </w:r>
    </w:p>
    <w:p w14:paraId="7077FB24" w14:textId="77777777" w:rsidR="008748FA" w:rsidRPr="008748FA" w:rsidRDefault="008748FA" w:rsidP="008748FA">
      <w:pPr>
        <w:rPr>
          <w:rFonts w:ascii="Aptos" w:hAnsi="Aptos"/>
          <w:sz w:val="22"/>
        </w:rPr>
      </w:pPr>
    </w:p>
    <w:p w14:paraId="04E35252" w14:textId="45EA8BF7" w:rsidR="00D9276E" w:rsidRPr="00683DCD" w:rsidRDefault="008748FA" w:rsidP="008748FA">
      <w:pPr>
        <w:rPr>
          <w:rFonts w:ascii="Aptos" w:hAnsi="Aptos"/>
          <w:sz w:val="22"/>
        </w:rPr>
      </w:pPr>
      <w:r w:rsidRPr="008748FA">
        <w:rPr>
          <w:rFonts w:ascii="Aptos" w:hAnsi="Aptos"/>
          <w:sz w:val="22"/>
        </w:rPr>
        <w:t>Preliminary results show that the forecast minimum pressure after assimilation becomes closer to that of the nature run. However, the magnitude of the correction remains small, suggesting that the current setting provides only limited additional benefit. Further experiments with different numbers of points and variable combinations are underway. These results will help clarify how spatial constraints affect the efficiency of clustering-based observation targeting for typhoon forecasting.</w:t>
      </w:r>
    </w:p>
    <w:sectPr w:rsidR="00D9276E" w:rsidRPr="00683DCD" w:rsidSect="00904D71">
      <w:pgSz w:w="11906" w:h="16838"/>
      <w:pgMar w:top="1134"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4F919" w14:textId="77777777" w:rsidR="002E0437" w:rsidRDefault="002E0437" w:rsidP="002E0437">
      <w:r>
        <w:separator/>
      </w:r>
    </w:p>
  </w:endnote>
  <w:endnote w:type="continuationSeparator" w:id="0">
    <w:p w14:paraId="3726CC3C" w14:textId="77777777" w:rsidR="002E0437" w:rsidRDefault="002E0437" w:rsidP="002E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54481" w14:textId="77777777" w:rsidR="002E0437" w:rsidRDefault="002E0437" w:rsidP="002E0437">
      <w:r>
        <w:separator/>
      </w:r>
    </w:p>
  </w:footnote>
  <w:footnote w:type="continuationSeparator" w:id="0">
    <w:p w14:paraId="0243573F" w14:textId="77777777" w:rsidR="002E0437" w:rsidRDefault="002E0437" w:rsidP="002E04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420"/>
  <w:drawingGridVerticalSpacing w:val="156"/>
  <w:noPunctuationKerning/>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0F0435"/>
    <w:rsid w:val="001972DC"/>
    <w:rsid w:val="002926C3"/>
    <w:rsid w:val="002E0437"/>
    <w:rsid w:val="00384443"/>
    <w:rsid w:val="00510650"/>
    <w:rsid w:val="00514D78"/>
    <w:rsid w:val="00571656"/>
    <w:rsid w:val="00666AF1"/>
    <w:rsid w:val="00683DCD"/>
    <w:rsid w:val="006B43A3"/>
    <w:rsid w:val="006C6BD6"/>
    <w:rsid w:val="00800C49"/>
    <w:rsid w:val="00804AE7"/>
    <w:rsid w:val="008748FA"/>
    <w:rsid w:val="00895B95"/>
    <w:rsid w:val="00904D71"/>
    <w:rsid w:val="00A836A5"/>
    <w:rsid w:val="00B376A9"/>
    <w:rsid w:val="00B507F6"/>
    <w:rsid w:val="00B605E2"/>
    <w:rsid w:val="00BF3361"/>
    <w:rsid w:val="00D1293E"/>
    <w:rsid w:val="00D246A5"/>
    <w:rsid w:val="00D84408"/>
    <w:rsid w:val="00D9276E"/>
    <w:rsid w:val="00DA5506"/>
    <w:rsid w:val="00DC0D46"/>
    <w:rsid w:val="00DC542E"/>
    <w:rsid w:val="00DF5345"/>
    <w:rsid w:val="00E147A9"/>
    <w:rsid w:val="00E355E7"/>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theme="minorBidi"/>
      <w:kern w:val="2"/>
      <w:sz w:val="21"/>
      <w:szCs w:val="2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0437"/>
    <w:pPr>
      <w:tabs>
        <w:tab w:val="center" w:pos="4252"/>
        <w:tab w:val="right" w:pos="8504"/>
      </w:tabs>
      <w:snapToGrid w:val="0"/>
    </w:pPr>
  </w:style>
  <w:style w:type="character" w:customStyle="1" w:styleId="a4">
    <w:name w:val="ヘッダー (文字)"/>
    <w:basedOn w:val="a0"/>
    <w:link w:val="a3"/>
    <w:uiPriority w:val="99"/>
    <w:rsid w:val="002E0437"/>
    <w:rPr>
      <w:rFonts w:cstheme="minorBidi"/>
      <w:kern w:val="2"/>
      <w:sz w:val="21"/>
      <w:szCs w:val="22"/>
      <w:lang w:val="en-US" w:eastAsia="zh-CN"/>
    </w:rPr>
  </w:style>
  <w:style w:type="paragraph" w:styleId="a5">
    <w:name w:val="footer"/>
    <w:basedOn w:val="a"/>
    <w:link w:val="a6"/>
    <w:uiPriority w:val="99"/>
    <w:unhideWhenUsed/>
    <w:rsid w:val="002E0437"/>
    <w:pPr>
      <w:tabs>
        <w:tab w:val="center" w:pos="4252"/>
        <w:tab w:val="right" w:pos="8504"/>
      </w:tabs>
      <w:snapToGrid w:val="0"/>
    </w:pPr>
  </w:style>
  <w:style w:type="character" w:customStyle="1" w:styleId="a6">
    <w:name w:val="フッター (文字)"/>
    <w:basedOn w:val="a0"/>
    <w:link w:val="a5"/>
    <w:uiPriority w:val="99"/>
    <w:rsid w:val="002E0437"/>
    <w:rPr>
      <w:rFonts w:cstheme="minorBidi"/>
      <w:kern w:val="2"/>
      <w:sz w:val="21"/>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Normal.dotm</Template>
  <TotalTime>65</TotalTime>
  <Pages>1</Pages>
  <Words>1290</Words>
  <Characters>1355</Characters>
  <Application>Microsoft Office Word</Application>
  <DocSecurity>0</DocSecurity>
  <Lines>75</Lines>
  <Paragraphs>71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Yusuke Umemiya（梅宮悠輔）</cp:lastModifiedBy>
  <cp:revision>9</cp:revision>
  <dcterms:created xsi:type="dcterms:W3CDTF">2024-12-05T11:08:00Z</dcterms:created>
  <dcterms:modified xsi:type="dcterms:W3CDTF">2026-03-17T06:02:00Z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