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63576228" w:rsidR="006D5E44" w:rsidRDefault="009B33EE">
      <w:pPr>
        <w:spacing w:after="240"/>
        <w:jc w:val="center"/>
      </w:pPr>
      <w:r>
        <w:rPr>
          <w:b/>
          <w:bCs/>
          <w:sz w:val="28"/>
          <w:szCs w:val="28"/>
        </w:rPr>
        <w:t xml:space="preserve">An </w:t>
      </w:r>
      <w:proofErr w:type="spellStart"/>
      <w:r>
        <w:rPr>
          <w:b/>
          <w:bCs/>
          <w:sz w:val="28"/>
          <w:szCs w:val="28"/>
        </w:rPr>
        <w:t>EnOI</w:t>
      </w:r>
      <w:proofErr w:type="spellEnd"/>
      <w:r>
        <w:rPr>
          <w:b/>
          <w:bCs/>
          <w:sz w:val="28"/>
          <w:szCs w:val="28"/>
        </w:rPr>
        <w:t xml:space="preserve"> Ocean Data Assimilation System for the GEPSv3 Coupled Prediction System: Development, Tuning, and Multi-model Evaluation</w:t>
      </w:r>
    </w:p>
    <w:p w14:paraId="00000006" w14:textId="7E141430" w:rsidR="006D5E44" w:rsidRDefault="009B33EE">
      <w:pPr>
        <w:spacing w:after="120"/>
        <w:jc w:val="center"/>
      </w:pPr>
      <w:r>
        <w:rPr>
          <w:b/>
          <w:bCs/>
        </w:rPr>
        <w:t>Lalu Mantigi Wana Paksi</w:t>
      </w:r>
      <w:r>
        <w:rPr>
          <w:vertAlign w:val="superscript"/>
        </w:rPr>
        <w:t>¹</w:t>
      </w:r>
      <w:r>
        <w:rPr>
          <w:b/>
          <w:bCs/>
        </w:rPr>
        <w:t>, Yu-Heng Tseng</w:t>
      </w:r>
      <w:r>
        <w:rPr>
          <w:vertAlign w:val="superscript"/>
        </w:rPr>
        <w:t>²</w:t>
      </w:r>
      <w:r w:rsidR="00135634">
        <w:rPr>
          <w:rFonts w:hint="eastAsia"/>
          <w:vertAlign w:val="superscript"/>
        </w:rPr>
        <w:t>,</w:t>
      </w:r>
      <w:r w:rsidR="00135634">
        <w:rPr>
          <w:vertAlign w:val="superscript"/>
        </w:rPr>
        <w:t>³</w:t>
      </w:r>
      <w:r>
        <w:rPr>
          <w:b/>
          <w:bCs/>
        </w:rPr>
        <w:t xml:space="preserve">, </w:t>
      </w:r>
      <w:r w:rsidR="00135634">
        <w:rPr>
          <w:b/>
          <w:bCs/>
        </w:rPr>
        <w:t>Ming-En Hsieh</w:t>
      </w:r>
      <w:r w:rsidR="00135634">
        <w:rPr>
          <w:vertAlign w:val="superscript"/>
        </w:rPr>
        <w:t>³</w:t>
      </w:r>
      <w:r>
        <w:rPr>
          <w:b/>
          <w:bCs/>
        </w:rPr>
        <w:t xml:space="preserve">, </w:t>
      </w:r>
      <w:r w:rsidR="00135634">
        <w:rPr>
          <w:b/>
          <w:bCs/>
        </w:rPr>
        <w:t>Wei-Liang Lee</w:t>
      </w:r>
      <w:r w:rsidR="00135634">
        <w:rPr>
          <w:vertAlign w:val="superscript"/>
        </w:rPr>
        <w:t>⁴</w:t>
      </w:r>
    </w:p>
    <w:p w14:paraId="00000007" w14:textId="77777777" w:rsidR="006D5E44" w:rsidRDefault="009B33EE">
      <w:pPr>
        <w:spacing w:after="40"/>
        <w:jc w:val="center"/>
      </w:pPr>
      <w:r>
        <w:rPr>
          <w:sz w:val="20"/>
          <w:szCs w:val="20"/>
          <w:vertAlign w:val="superscript"/>
        </w:rPr>
        <w:t>¹</w:t>
      </w:r>
      <w:r>
        <w:rPr>
          <w:i/>
          <w:iCs/>
          <w:sz w:val="20"/>
          <w:szCs w:val="20"/>
        </w:rPr>
        <w:t xml:space="preserve"> Taiwan International Graduate Program in Earth System Science, Academia Sinica and National Taiwan University, Taipei, Taiwan</w:t>
      </w:r>
    </w:p>
    <w:p w14:paraId="00000008" w14:textId="77777777" w:rsidR="006D5E44" w:rsidRDefault="009B33EE">
      <w:pPr>
        <w:spacing w:after="40"/>
        <w:jc w:val="center"/>
      </w:pPr>
      <w:r>
        <w:rPr>
          <w:sz w:val="20"/>
          <w:szCs w:val="20"/>
          <w:vertAlign w:val="superscript"/>
        </w:rPr>
        <w:t>²</w:t>
      </w:r>
      <w:r>
        <w:rPr>
          <w:i/>
          <w:iCs/>
          <w:sz w:val="20"/>
          <w:szCs w:val="20"/>
        </w:rPr>
        <w:t xml:space="preserve"> Institute of Oceanography, National Taiwan University, Taipei 10617, Taiwan</w:t>
      </w:r>
    </w:p>
    <w:p w14:paraId="00000009" w14:textId="77777777" w:rsidR="006D5E44" w:rsidRDefault="009B33EE">
      <w:pPr>
        <w:spacing w:after="40"/>
        <w:jc w:val="center"/>
      </w:pPr>
      <w:r>
        <w:rPr>
          <w:sz w:val="20"/>
          <w:szCs w:val="20"/>
          <w:vertAlign w:val="superscript"/>
        </w:rPr>
        <w:t>³</w:t>
      </w:r>
      <w:r>
        <w:rPr>
          <w:i/>
          <w:iCs/>
          <w:sz w:val="20"/>
          <w:szCs w:val="20"/>
        </w:rPr>
        <w:t xml:space="preserve"> Ocean </w:t>
      </w:r>
      <w:proofErr w:type="spellStart"/>
      <w:r>
        <w:rPr>
          <w:i/>
          <w:iCs/>
          <w:sz w:val="20"/>
          <w:szCs w:val="20"/>
        </w:rPr>
        <w:t>Center</w:t>
      </w:r>
      <w:proofErr w:type="spellEnd"/>
      <w:r>
        <w:rPr>
          <w:i/>
          <w:iCs/>
          <w:sz w:val="20"/>
          <w:szCs w:val="20"/>
        </w:rPr>
        <w:t>, National Taiwan University, Taipei 10617, Taiwan</w:t>
      </w:r>
    </w:p>
    <w:p w14:paraId="0000000A" w14:textId="77777777" w:rsidR="006D5E44" w:rsidRDefault="009B33EE">
      <w:pPr>
        <w:spacing w:after="200"/>
        <w:jc w:val="center"/>
      </w:pPr>
      <w:r>
        <w:rPr>
          <w:sz w:val="20"/>
          <w:szCs w:val="20"/>
          <w:vertAlign w:val="superscript"/>
        </w:rPr>
        <w:t>⁴</w:t>
      </w:r>
      <w:r>
        <w:rPr>
          <w:i/>
          <w:iCs/>
          <w:sz w:val="20"/>
          <w:szCs w:val="20"/>
        </w:rPr>
        <w:t xml:space="preserve"> Research </w:t>
      </w:r>
      <w:proofErr w:type="spellStart"/>
      <w:r>
        <w:rPr>
          <w:i/>
          <w:iCs/>
          <w:sz w:val="20"/>
          <w:szCs w:val="20"/>
        </w:rPr>
        <w:t>Center</w:t>
      </w:r>
      <w:proofErr w:type="spellEnd"/>
      <w:r>
        <w:rPr>
          <w:i/>
          <w:iCs/>
          <w:sz w:val="20"/>
          <w:szCs w:val="20"/>
        </w:rPr>
        <w:t xml:space="preserve"> for Environmental Changes, Academia Sinica, Taipei 11529, Taiwan</w:t>
      </w:r>
    </w:p>
    <w:p w14:paraId="0000000B" w14:textId="77777777" w:rsidR="006D5E44" w:rsidRDefault="009B33EE">
      <w:pPr>
        <w:spacing w:after="300"/>
        <w:jc w:val="center"/>
      </w:pPr>
      <w:r>
        <w:rPr>
          <w:i/>
          <w:iCs/>
          <w:sz w:val="20"/>
          <w:szCs w:val="20"/>
        </w:rPr>
        <w:t>Corresponding author: tsengyh@ntu.edu.tw</w:t>
      </w:r>
    </w:p>
    <w:p w14:paraId="0000000C" w14:textId="77777777" w:rsidR="006D5E44" w:rsidRDefault="009B33EE">
      <w:pPr>
        <w:spacing w:after="120"/>
      </w:pPr>
      <w:r>
        <w:rPr>
          <w:b/>
          <w:bCs/>
        </w:rPr>
        <w:t>Abstract</w:t>
      </w:r>
    </w:p>
    <w:p w14:paraId="0000000D" w14:textId="0D5E1254" w:rsidR="006D5E44" w:rsidRPr="00BF5D20" w:rsidRDefault="009B33EE" w:rsidP="005B656E">
      <w:pPr>
        <w:spacing w:after="120" w:line="276" w:lineRule="auto"/>
        <w:ind w:firstLine="480"/>
        <w:jc w:val="both"/>
        <w:rPr>
          <w:rFonts w:ascii="Aptos" w:hAnsi="Aptos"/>
          <w:sz w:val="22"/>
          <w:szCs w:val="22"/>
        </w:rPr>
      </w:pPr>
      <w:r w:rsidRPr="00BF5D20">
        <w:rPr>
          <w:rFonts w:ascii="Aptos" w:hAnsi="Aptos"/>
          <w:sz w:val="22"/>
          <w:szCs w:val="22"/>
        </w:rPr>
        <w:t>Effective integration of ocean observations into numerical models through data assimilation is essential for improving ocean state estimation and prediction. This study introduces an Ensemble Optimal Interpolation (</w:t>
      </w:r>
      <w:proofErr w:type="spellStart"/>
      <w:r w:rsidRPr="00BF5D20">
        <w:rPr>
          <w:rFonts w:ascii="Aptos" w:hAnsi="Aptos"/>
          <w:sz w:val="22"/>
          <w:szCs w:val="22"/>
        </w:rPr>
        <w:t>EnOI</w:t>
      </w:r>
      <w:proofErr w:type="spellEnd"/>
      <w:r w:rsidRPr="00BF5D20">
        <w:rPr>
          <w:rFonts w:ascii="Aptos" w:hAnsi="Aptos"/>
          <w:sz w:val="22"/>
          <w:szCs w:val="22"/>
        </w:rPr>
        <w:t xml:space="preserve">) system developed for the Taiwan Multi-scale Community Ocean Model (TIMCOM) using the </w:t>
      </w:r>
      <w:proofErr w:type="spellStart"/>
      <w:r w:rsidRPr="00BF5D20">
        <w:rPr>
          <w:rFonts w:ascii="Aptos" w:hAnsi="Aptos"/>
          <w:sz w:val="22"/>
          <w:szCs w:val="22"/>
        </w:rPr>
        <w:t>enkf</w:t>
      </w:r>
      <w:proofErr w:type="spellEnd"/>
      <w:r w:rsidRPr="00BF5D20">
        <w:rPr>
          <w:rFonts w:ascii="Aptos" w:hAnsi="Aptos"/>
          <w:sz w:val="22"/>
          <w:szCs w:val="22"/>
        </w:rPr>
        <w:t>-c framework. TIMCOM is the ocean component of the</w:t>
      </w:r>
      <w:r w:rsidR="00B54B2C" w:rsidRPr="00BF5D20">
        <w:rPr>
          <w:rFonts w:ascii="Aptos" w:hAnsi="Aptos"/>
          <w:sz w:val="22"/>
          <w:szCs w:val="22"/>
        </w:rPr>
        <w:t xml:space="preserve"> Global Ensemble Prediction System v3</w:t>
      </w:r>
      <w:r w:rsidRPr="00BF5D20">
        <w:rPr>
          <w:rFonts w:ascii="Aptos" w:hAnsi="Aptos"/>
          <w:sz w:val="22"/>
          <w:szCs w:val="22"/>
        </w:rPr>
        <w:t xml:space="preserve"> </w:t>
      </w:r>
      <w:r w:rsidR="00B54B2C" w:rsidRPr="00BF5D20">
        <w:rPr>
          <w:rFonts w:ascii="Aptos" w:hAnsi="Aptos"/>
          <w:sz w:val="22"/>
          <w:szCs w:val="22"/>
        </w:rPr>
        <w:t xml:space="preserve">(GEPSv3) at </w:t>
      </w:r>
      <w:r w:rsidRPr="00BF5D20">
        <w:rPr>
          <w:rFonts w:ascii="Aptos" w:hAnsi="Aptos"/>
          <w:sz w:val="22"/>
          <w:szCs w:val="22"/>
        </w:rPr>
        <w:t xml:space="preserve">the Central Weather Administration of Taiwan, employing fourth-order finite volume discretization on a global 1536×720×55 grid (~25 km, refining to ~10 km in the tropics). The </w:t>
      </w:r>
      <w:proofErr w:type="spellStart"/>
      <w:r w:rsidRPr="00BF5D20">
        <w:rPr>
          <w:rFonts w:ascii="Aptos" w:hAnsi="Aptos"/>
          <w:sz w:val="22"/>
          <w:szCs w:val="22"/>
        </w:rPr>
        <w:t>EnOI</w:t>
      </w:r>
      <w:proofErr w:type="spellEnd"/>
      <w:r w:rsidRPr="00BF5D20">
        <w:rPr>
          <w:rFonts w:ascii="Aptos" w:hAnsi="Aptos"/>
          <w:sz w:val="22"/>
          <w:szCs w:val="22"/>
        </w:rPr>
        <w:t xml:space="preserve"> system is designed to operate within a cycling framework coupled with the GEPSv3, where </w:t>
      </w:r>
      <w:r w:rsidR="00F12C14" w:rsidRPr="00BF5D20">
        <w:rPr>
          <w:rFonts w:ascii="Aptos" w:hAnsi="Aptos"/>
          <w:sz w:val="22"/>
          <w:szCs w:val="22"/>
        </w:rPr>
        <w:t xml:space="preserve">weak coupled data-assimilation </w:t>
      </w:r>
      <w:r w:rsidRPr="00BF5D20">
        <w:rPr>
          <w:rFonts w:ascii="Aptos" w:hAnsi="Aptos"/>
          <w:sz w:val="22"/>
          <w:szCs w:val="22"/>
        </w:rPr>
        <w:t>provide</w:t>
      </w:r>
      <w:r w:rsidR="00F12C14" w:rsidRPr="00BF5D20">
        <w:rPr>
          <w:rFonts w:ascii="Aptos" w:hAnsi="Aptos"/>
          <w:sz w:val="22"/>
          <w:szCs w:val="22"/>
        </w:rPr>
        <w:t>s</w:t>
      </w:r>
      <w:r w:rsidRPr="00BF5D20">
        <w:rPr>
          <w:rFonts w:ascii="Aptos" w:hAnsi="Aptos"/>
          <w:sz w:val="22"/>
          <w:szCs w:val="22"/>
        </w:rPr>
        <w:t xml:space="preserve"> initial conditions for subsequent coupled forecasts.</w:t>
      </w:r>
    </w:p>
    <w:p w14:paraId="0000000F" w14:textId="52D9375C" w:rsidR="006D5E44" w:rsidRDefault="009B33EE" w:rsidP="005B656E">
      <w:pPr>
        <w:spacing w:after="120" w:line="276" w:lineRule="auto"/>
        <w:ind w:firstLine="480"/>
        <w:jc w:val="both"/>
        <w:rPr>
          <w:rFonts w:ascii="Aptos" w:hAnsi="Aptos"/>
          <w:sz w:val="22"/>
          <w:szCs w:val="22"/>
        </w:rPr>
      </w:pPr>
      <w:r w:rsidRPr="00BF5D20">
        <w:rPr>
          <w:rFonts w:ascii="Aptos" w:hAnsi="Aptos"/>
          <w:sz w:val="22"/>
          <w:szCs w:val="22"/>
        </w:rPr>
        <w:t xml:space="preserve">The system assimilates Argo temperature and salinity profiles, World Ocean Database in situ measurements (mooring, XBT, CTD), and NOAA OISST satellite sea surface temperature, with a 250-member static ensemble from NMC-method forecast differences providing background error covariance. Parameter sensitivity experiments suggest that an observation error inflation factor of 8 with 800-km localization yields the optimal configuration, achieving 10–15% temperature RMSE reduction in the upper 500 m verified against 20% withheld Argo profiles from the </w:t>
      </w:r>
      <w:proofErr w:type="spellStart"/>
      <w:r w:rsidRPr="00BF5D20">
        <w:rPr>
          <w:rFonts w:ascii="Aptos" w:hAnsi="Aptos"/>
          <w:sz w:val="22"/>
          <w:szCs w:val="22"/>
        </w:rPr>
        <w:t>SynObs</w:t>
      </w:r>
      <w:proofErr w:type="spellEnd"/>
      <w:r w:rsidRPr="00BF5D20">
        <w:rPr>
          <w:rFonts w:ascii="Aptos" w:hAnsi="Aptos"/>
          <w:sz w:val="22"/>
          <w:szCs w:val="22"/>
        </w:rPr>
        <w:t xml:space="preserve"> </w:t>
      </w:r>
      <w:proofErr w:type="spellStart"/>
      <w:r w:rsidRPr="00BF5D20">
        <w:rPr>
          <w:rFonts w:ascii="Aptos" w:hAnsi="Aptos"/>
          <w:sz w:val="22"/>
          <w:szCs w:val="22"/>
        </w:rPr>
        <w:t>ArRef</w:t>
      </w:r>
      <w:proofErr w:type="spellEnd"/>
      <w:r w:rsidRPr="00BF5D20">
        <w:rPr>
          <w:rFonts w:ascii="Aptos" w:hAnsi="Aptos"/>
          <w:sz w:val="22"/>
          <w:szCs w:val="22"/>
        </w:rPr>
        <w:t xml:space="preserve"> dataset.</w:t>
      </w:r>
      <w:r w:rsidR="00F12C14" w:rsidRPr="00BF5D20">
        <w:rPr>
          <w:rFonts w:ascii="Aptos" w:hAnsi="Aptos"/>
          <w:sz w:val="22"/>
          <w:szCs w:val="22"/>
        </w:rPr>
        <w:t xml:space="preserve"> </w:t>
      </w:r>
      <w:r w:rsidRPr="00BF5D20">
        <w:rPr>
          <w:rFonts w:ascii="Aptos" w:hAnsi="Aptos"/>
          <w:sz w:val="22"/>
          <w:szCs w:val="22"/>
        </w:rPr>
        <w:t xml:space="preserve">As part of the </w:t>
      </w:r>
      <w:proofErr w:type="spellStart"/>
      <w:r w:rsidRPr="00BF5D20">
        <w:rPr>
          <w:rFonts w:ascii="Aptos" w:hAnsi="Aptos"/>
          <w:sz w:val="22"/>
          <w:szCs w:val="22"/>
        </w:rPr>
        <w:t>SynObs</w:t>
      </w:r>
      <w:proofErr w:type="spellEnd"/>
      <w:r w:rsidRPr="00BF5D20">
        <w:rPr>
          <w:rFonts w:ascii="Aptos" w:hAnsi="Aptos"/>
          <w:sz w:val="22"/>
          <w:szCs w:val="22"/>
        </w:rPr>
        <w:t xml:space="preserve"> Flagship OSE, standardized analysis products following the JAMSTEC </w:t>
      </w:r>
      <w:proofErr w:type="spellStart"/>
      <w:r w:rsidRPr="00BF5D20">
        <w:rPr>
          <w:rFonts w:ascii="Aptos" w:hAnsi="Aptos"/>
          <w:sz w:val="22"/>
          <w:szCs w:val="22"/>
        </w:rPr>
        <w:t>SynObs</w:t>
      </w:r>
      <w:proofErr w:type="spellEnd"/>
      <w:r w:rsidRPr="00BF5D20">
        <w:rPr>
          <w:rFonts w:ascii="Aptos" w:hAnsi="Aptos"/>
          <w:sz w:val="22"/>
          <w:szCs w:val="22"/>
        </w:rPr>
        <w:t xml:space="preserve"> protocol were generated and compared against four operational systems (MOVE-G3F, FOAM, GIOPS, ORAS6). Results demonstrate that TIMCOM achieves competitive surface temperature accuracy (RMSE 0.70°C at 0–50 m) despite being a newly developed system. These findings provide practical insights into configuring </w:t>
      </w:r>
      <w:proofErr w:type="spellStart"/>
      <w:r w:rsidRPr="00BF5D20">
        <w:rPr>
          <w:rFonts w:ascii="Aptos" w:hAnsi="Aptos"/>
          <w:sz w:val="22"/>
          <w:szCs w:val="22"/>
        </w:rPr>
        <w:t>EnOI</w:t>
      </w:r>
      <w:proofErr w:type="spellEnd"/>
      <w:r w:rsidRPr="00BF5D20">
        <w:rPr>
          <w:rFonts w:ascii="Aptos" w:hAnsi="Aptos"/>
          <w:sz w:val="22"/>
          <w:szCs w:val="22"/>
        </w:rPr>
        <w:t xml:space="preserve">-based assimilation for global ocean models and </w:t>
      </w:r>
      <w:r w:rsidR="00F12C14" w:rsidRPr="00BF5D20">
        <w:rPr>
          <w:rFonts w:ascii="Aptos" w:hAnsi="Aptos"/>
          <w:sz w:val="22"/>
          <w:szCs w:val="22"/>
        </w:rPr>
        <w:t xml:space="preserve">highlights </w:t>
      </w:r>
      <w:r w:rsidRPr="00BF5D20">
        <w:rPr>
          <w:rFonts w:ascii="Aptos" w:hAnsi="Aptos"/>
          <w:sz w:val="22"/>
          <w:szCs w:val="22"/>
        </w:rPr>
        <w:t>the importance of ensemble covariance quality for effectively utilizing heterogeneous ocean observations.</w:t>
      </w:r>
    </w:p>
    <w:p w14:paraId="685D60C7" w14:textId="77777777" w:rsidR="00BF5D20" w:rsidRPr="00BF5D20" w:rsidRDefault="00BF5D20" w:rsidP="00BF5D20">
      <w:pPr>
        <w:spacing w:after="120"/>
        <w:ind w:firstLine="480"/>
        <w:jc w:val="both"/>
        <w:rPr>
          <w:rFonts w:ascii="Aptos" w:hAnsi="Aptos"/>
          <w:sz w:val="22"/>
          <w:szCs w:val="22"/>
        </w:rPr>
      </w:pPr>
    </w:p>
    <w:p w14:paraId="00000010" w14:textId="6379CA5D" w:rsidR="006D5E44" w:rsidRDefault="009B33EE" w:rsidP="00BF5D20">
      <w:pPr>
        <w:spacing w:after="200"/>
      </w:pPr>
      <w:r>
        <w:rPr>
          <w:b/>
          <w:bCs/>
        </w:rPr>
        <w:t xml:space="preserve">Keywords: </w:t>
      </w:r>
      <w:r>
        <w:t>Ensemble Optimal Interpolation, TIMCOM, OSE, Ocean Data Assimilation,</w:t>
      </w:r>
      <w:r w:rsidR="005B656E">
        <w:t xml:space="preserve"> </w:t>
      </w:r>
      <w:proofErr w:type="spellStart"/>
      <w:r>
        <w:t>SynObs</w:t>
      </w:r>
      <w:proofErr w:type="spellEnd"/>
      <w:r>
        <w:t>, OSE</w:t>
      </w:r>
    </w:p>
    <w:p w14:paraId="00000011" w14:textId="77777777" w:rsidR="006D5E44" w:rsidRDefault="006D5E44">
      <w:pPr>
        <w:spacing w:after="100"/>
      </w:pPr>
    </w:p>
    <w:sectPr w:rsidR="006D5E44" w:rsidSect="00BF5D20">
      <w:headerReference w:type="first" r:id="rId6"/>
      <w:pgSz w:w="12240" w:h="15840"/>
      <w:pgMar w:top="1440" w:right="1440" w:bottom="1440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FF09" w14:textId="77777777" w:rsidR="00766EF8" w:rsidRDefault="00766EF8" w:rsidP="00BF5D20">
      <w:r>
        <w:separator/>
      </w:r>
    </w:p>
  </w:endnote>
  <w:endnote w:type="continuationSeparator" w:id="0">
    <w:p w14:paraId="6E7E6AC4" w14:textId="77777777" w:rsidR="00766EF8" w:rsidRDefault="00766EF8" w:rsidP="00BF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A17404A-8D55-F348-A6C3-73EE56A77F2F}"/>
    <w:embedBold r:id="rId2" w:fontKey="{A258C59F-6887-254B-96EB-9D4CCC1AD09D}"/>
    <w:embedItalic r:id="rId3" w:fontKey="{C6C2AAF1-ED70-554D-AF08-7FF73E0547BD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34D1D7F-FFDB-5048-A236-7379C46099A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242EE956-4C49-AB48-92E7-13B3F359075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6AA28736-BAFE-E04C-A735-541D9801E5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9FBB440-09D2-8E4C-ACAC-5A4BBB45D8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9C5EB" w14:textId="77777777" w:rsidR="00766EF8" w:rsidRDefault="00766EF8" w:rsidP="00BF5D20">
      <w:r>
        <w:separator/>
      </w:r>
    </w:p>
  </w:footnote>
  <w:footnote w:type="continuationSeparator" w:id="0">
    <w:p w14:paraId="79E94718" w14:textId="77777777" w:rsidR="00766EF8" w:rsidRDefault="00766EF8" w:rsidP="00BF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2C08" w14:textId="77777777" w:rsidR="00BF5D20" w:rsidRDefault="00BF5D20" w:rsidP="00BF5D20">
    <w:pPr>
      <w:spacing w:after="60"/>
      <w:jc w:val="center"/>
    </w:pPr>
    <w:proofErr w:type="spellStart"/>
    <w:r>
      <w:rPr>
        <w:i/>
        <w:iCs/>
        <w:color w:val="444444"/>
        <w:sz w:val="20"/>
        <w:szCs w:val="20"/>
      </w:rPr>
      <w:t>SynObs</w:t>
    </w:r>
    <w:proofErr w:type="spellEnd"/>
    <w:r>
      <w:rPr>
        <w:i/>
        <w:iCs/>
        <w:color w:val="444444"/>
        <w:sz w:val="20"/>
        <w:szCs w:val="20"/>
      </w:rPr>
      <w:t xml:space="preserve"> &amp; Ocean Observing Co-Design Joint International Workshop 2026</w:t>
    </w:r>
  </w:p>
  <w:p w14:paraId="72F22CDC" w14:textId="77777777" w:rsidR="00BF5D20" w:rsidRDefault="00BF5D20" w:rsidP="00BF5D20">
    <w:pPr>
      <w:spacing w:after="60"/>
      <w:jc w:val="center"/>
    </w:pPr>
    <w:r>
      <w:rPr>
        <w:i/>
        <w:iCs/>
        <w:color w:val="444444"/>
        <w:sz w:val="20"/>
        <w:szCs w:val="20"/>
      </w:rPr>
      <w:t>24–29 August 2026, Mutsu, Japan</w:t>
    </w:r>
  </w:p>
  <w:p w14:paraId="0B737537" w14:textId="2866CD24" w:rsidR="00BF5D20" w:rsidRPr="00BF5D20" w:rsidRDefault="00BF5D20" w:rsidP="00BF5D20">
    <w:pPr>
      <w:spacing w:after="200"/>
      <w:jc w:val="center"/>
      <w:rPr>
        <w:i/>
        <w:iCs/>
        <w:color w:val="444444"/>
        <w:sz w:val="18"/>
        <w:szCs w:val="18"/>
      </w:rPr>
    </w:pPr>
    <w:r>
      <w:rPr>
        <w:i/>
        <w:iCs/>
        <w:color w:val="444444"/>
        <w:sz w:val="18"/>
        <w:szCs w:val="18"/>
      </w:rPr>
      <w:t>2.1 Achievements of the coordinated experiments for the observation impacts (</w:t>
    </w:r>
    <w:proofErr w:type="spellStart"/>
    <w:r>
      <w:rPr>
        <w:i/>
        <w:iCs/>
        <w:color w:val="444444"/>
        <w:sz w:val="18"/>
        <w:szCs w:val="18"/>
      </w:rPr>
      <w:t>SynObs</w:t>
    </w:r>
    <w:proofErr w:type="spellEnd"/>
    <w:r>
      <w:rPr>
        <w:i/>
        <w:iCs/>
        <w:color w:val="444444"/>
        <w:sz w:val="18"/>
        <w:szCs w:val="18"/>
      </w:rPr>
      <w:t xml:space="preserve"> Flagship OSEs)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4"/>
    <w:rsid w:val="000817D9"/>
    <w:rsid w:val="00135634"/>
    <w:rsid w:val="005B656E"/>
    <w:rsid w:val="00631257"/>
    <w:rsid w:val="006D5E44"/>
    <w:rsid w:val="00766EF8"/>
    <w:rsid w:val="009B33EE"/>
    <w:rsid w:val="00B54B2C"/>
    <w:rsid w:val="00BE01A9"/>
    <w:rsid w:val="00BF5D20"/>
    <w:rsid w:val="00CA0D88"/>
    <w:rsid w:val="00F1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E6C7"/>
  <w15:docId w15:val="{EC674F47-57E4-450E-B274-4854A499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ID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rFonts w:eastAsia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rFonts w:eastAsia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rFonts w:eastAsia="Times New Roman"/>
      <w:color w:val="1F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rFonts w:eastAsia="Times New Roman"/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rFonts w:eastAsia="Times New Roman"/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rFonts w:eastAsia="Times New Roman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rFonts w:eastAsia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F5D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D20"/>
  </w:style>
  <w:style w:type="paragraph" w:styleId="Footer">
    <w:name w:val="footer"/>
    <w:basedOn w:val="Normal"/>
    <w:link w:val="FooterChar"/>
    <w:uiPriority w:val="99"/>
    <w:unhideWhenUsed/>
    <w:rsid w:val="00BF5D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350</Words>
  <Characters>2269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白偲路</cp:lastModifiedBy>
  <cp:revision>6</cp:revision>
  <dcterms:created xsi:type="dcterms:W3CDTF">2026-03-25T16:44:00Z</dcterms:created>
  <dcterms:modified xsi:type="dcterms:W3CDTF">2026-03-26T16:07:00Z</dcterms:modified>
</cp:coreProperties>
</file>