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notes.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ptos" w:hAnsi="Aptos"/>
          <w:b/>
          <w:bCs/>
          <w:sz w:val="24"/>
          <w:szCs w:val="28"/>
        </w:rPr>
      </w:pPr>
      <w:r>
        <w:rPr>
          <w:rFonts w:ascii="Aptos" w:hAnsi="Aptos"/>
          <w:b/>
          <w:bCs/>
          <w:sz w:val="24"/>
          <w:szCs w:val="28"/>
        </w:rPr>
        <w:t>Machine Learning Forecast Correction</w:t>
      </w:r>
    </w:p>
    <w:p>
      <w:pPr>
        <w:pStyle w:val="Normal"/>
        <w:jc w:val="center"/>
        <w:rPr>
          <w:rFonts w:ascii="Aptos" w:hAnsi="Aptos"/>
          <w:b/>
          <w:bCs/>
          <w:sz w:val="22"/>
        </w:rPr>
      </w:pPr>
      <w:r>
        <w:rPr>
          <w:rFonts w:ascii="Aptos" w:hAnsi="Aptos"/>
          <w:b/>
          <w:bCs/>
          <w:sz w:val="22"/>
        </w:rPr>
      </w:r>
    </w:p>
    <w:p>
      <w:pPr>
        <w:pStyle w:val="Normal"/>
        <w:jc w:val="center"/>
        <w:rPr>
          <w:rFonts w:ascii="Aptos" w:hAnsi="Aptos"/>
          <w:sz w:val="22"/>
          <w:vertAlign w:val="superscript"/>
        </w:rPr>
      </w:pPr>
      <w:r>
        <w:rPr>
          <w:rFonts w:ascii="Aptos" w:hAnsi="Aptos"/>
          <w:sz w:val="22"/>
        </w:rPr>
        <w:t>Jacopo Dall’Aglio</w:t>
      </w:r>
      <w:r>
        <w:rPr>
          <w:rFonts w:ascii="Aptos" w:hAnsi="Aptos"/>
          <w:sz w:val="22"/>
          <w:vertAlign w:val="superscript"/>
        </w:rPr>
        <w:t>1</w:t>
      </w:r>
      <w:r>
        <w:rPr>
          <w:rFonts w:ascii="Aptos" w:hAnsi="Aptos"/>
          <w:sz w:val="22"/>
        </w:rPr>
        <w:t>, Paolo Oddo</w:t>
      </w:r>
      <w:r>
        <w:rPr>
          <w:rFonts w:ascii="Aptos" w:hAnsi="Aptos"/>
          <w:sz w:val="22"/>
          <w:vertAlign w:val="superscript"/>
        </w:rPr>
        <w:t>1</w:t>
      </w:r>
      <w:r>
        <w:rPr>
          <w:rFonts w:ascii="Aptos" w:hAnsi="Aptos"/>
          <w:sz w:val="22"/>
        </w:rPr>
        <w:t>, Silvio Gualdi</w:t>
      </w:r>
      <w:r>
        <w:rPr>
          <w:rFonts w:ascii="Aptos" w:hAnsi="Aptos"/>
          <w:sz w:val="22"/>
          <w:vertAlign w:val="superscript"/>
        </w:rPr>
        <w:t>2</w:t>
      </w:r>
    </w:p>
    <w:p>
      <w:pPr>
        <w:pStyle w:val="Normal"/>
        <w:jc w:val="center"/>
        <w:rPr>
          <w:rFonts w:ascii="Aptos" w:hAnsi="Aptos"/>
          <w:sz w:val="22"/>
          <w:vertAlign w:val="superscript"/>
        </w:rPr>
      </w:pPr>
      <w:r>
        <w:rPr>
          <w:rFonts w:ascii="Aptos" w:hAnsi="Aptos"/>
          <w:sz w:val="22"/>
          <w:vertAlign w:val="superscript"/>
        </w:rPr>
      </w:r>
    </w:p>
    <w:p>
      <w:pPr>
        <w:pStyle w:val="Normal"/>
        <w:jc w:val="center"/>
        <w:rPr>
          <w:rFonts w:ascii="Aptos" w:hAnsi="Aptos" w:cs="Times New Roman"/>
          <w:sz w:val="22"/>
        </w:rPr>
      </w:pPr>
      <w:r>
        <w:rPr>
          <w:rFonts w:cs="Times New Roman" w:ascii="Aptos" w:hAnsi="Aptos"/>
          <w:sz w:val="22"/>
          <w:vertAlign w:val="superscript"/>
        </w:rPr>
        <w:t>1</w:t>
      </w:r>
      <w:r>
        <w:rPr>
          <w:rFonts w:cs="Times New Roman" w:ascii="Aptos" w:hAnsi="Aptos"/>
          <w:sz w:val="22"/>
        </w:rPr>
        <w:t>University of Bologna, Italy</w:t>
      </w:r>
    </w:p>
    <w:p>
      <w:pPr>
        <w:pStyle w:val="Normal"/>
        <w:jc w:val="center"/>
        <w:rPr>
          <w:rFonts w:ascii="Aptos" w:hAnsi="Aptos" w:cs="Times New Roman"/>
          <w:sz w:val="22"/>
        </w:rPr>
      </w:pPr>
      <w:r>
        <w:rPr>
          <w:rFonts w:cs="Times New Roman" w:ascii="Aptos" w:hAnsi="Aptos"/>
          <w:sz w:val="22"/>
          <w:vertAlign w:val="superscript"/>
        </w:rPr>
        <w:t>2</w:t>
      </w:r>
      <w:r>
        <w:rPr>
          <w:rFonts w:ascii="Aptos" w:hAnsi="Aptos"/>
          <w:b w:val="false"/>
          <w:bCs w:val="false"/>
          <w:color w:val="auto"/>
          <w:sz w:val="22"/>
          <w:szCs w:val="22"/>
          <w:u w:val="none"/>
        </w:rPr>
        <w:t>Centro Euro-Mediterraneo sui Cambiamenti Climatici (</w:t>
      </w:r>
      <w:r>
        <w:rPr>
          <w:rFonts w:cs="Times New Roman" w:ascii="Aptos" w:hAnsi="Aptos"/>
          <w:b w:val="false"/>
          <w:bCs w:val="false"/>
          <w:color w:val="auto"/>
          <w:sz w:val="22"/>
          <w:szCs w:val="22"/>
          <w:u w:val="none"/>
        </w:rPr>
        <w:t>CMCC), Bologna, Italy</w:t>
      </w:r>
    </w:p>
    <w:p>
      <w:pPr>
        <w:pStyle w:val="Normal"/>
        <w:jc w:val="center"/>
        <w:rPr>
          <w:rFonts w:ascii="Aptos" w:hAnsi="Aptos" w:cs="Times New Roman"/>
          <w:sz w:val="22"/>
        </w:rPr>
      </w:pPr>
      <w:r>
        <w:rPr>
          <w:rFonts w:cs="Times New Roman" w:ascii="Aptos" w:hAnsi="Aptos"/>
          <w:sz w:val="22"/>
        </w:rPr>
      </w:r>
    </w:p>
    <w:p>
      <w:pPr>
        <w:pStyle w:val="Normal"/>
        <w:rPr>
          <w:rFonts w:ascii="Aptos" w:hAnsi="Aptos" w:cs="Times New Roman"/>
          <w:sz w:val="22"/>
        </w:rPr>
      </w:pPr>
      <w:r>
        <w:rPr>
          <w:rFonts w:cs="Times New Roman" w:ascii="Aptos" w:hAnsi="Aptos"/>
          <w:sz w:val="22"/>
        </w:rPr>
      </w:r>
    </w:p>
    <w:p>
      <w:pPr>
        <w:pStyle w:val="Normal"/>
        <w:rPr>
          <w:rFonts w:ascii="Aptos" w:hAnsi="Aptos"/>
          <w:b/>
          <w:bCs/>
          <w:sz w:val="22"/>
        </w:rPr>
      </w:pPr>
      <w:r>
        <w:rPr>
          <w:rFonts w:ascii="Aptos" w:hAnsi="Aptos"/>
          <w:b/>
          <w:bCs/>
          <w:sz w:val="22"/>
        </w:rPr>
        <w:t>Abstract</w:t>
      </w:r>
    </w:p>
    <w:p>
      <w:pPr>
        <w:pStyle w:val="Normal"/>
        <w:spacing w:lineRule="auto" w:line="240" w:before="114" w:after="114"/>
        <w:rPr>
          <w:rFonts w:ascii="Aptos" w:hAnsi="Aptos"/>
          <w:sz w:val="22"/>
        </w:rPr>
      </w:pPr>
      <w:r>
        <w:rPr>
          <w:rFonts w:ascii="Aptos" w:hAnsi="Aptos"/>
          <w:sz w:val="22"/>
        </w:rPr>
        <w:t>A Machine Learning Forecast Correction (MLFC) framework for geophysical fields based on Small Attention UNet (SmaAtUNet) is proposed.</w:t>
      </w:r>
    </w:p>
    <w:p>
      <w:pPr>
        <w:pStyle w:val="Normal"/>
        <w:spacing w:lineRule="auto" w:line="240" w:before="114" w:after="114"/>
        <w:rPr>
          <w:rFonts w:ascii="Aptos" w:hAnsi="Aptos"/>
          <w:sz w:val="22"/>
        </w:rPr>
      </w:pPr>
      <w:r>
        <w:rPr>
          <w:rFonts w:ascii="Aptos" w:hAnsi="Aptos"/>
          <w:sz w:val="22"/>
        </w:rPr>
        <w:t>SmaAtUNet combines a traditional encoder-decoder Convolutional Neural Network (CNN) UNet with Convolutional Block Attention Modules (CBAM) computed at each encoder step and applied as skip connections at the decoder stage</w:t>
      </w:r>
      <w:r>
        <w:rPr>
          <w:rStyle w:val="FootnoteReference"/>
          <w:rFonts w:ascii="Aptos" w:hAnsi="Aptos"/>
          <w:sz w:val="22"/>
        </w:rPr>
        <w:footnoteReference w:id="2"/>
      </w:r>
      <w:r>
        <w:rPr>
          <w:rFonts w:ascii="Aptos" w:hAnsi="Aptos"/>
          <w:sz w:val="22"/>
        </w:rPr>
        <w:t>.</w:t>
      </w:r>
    </w:p>
    <w:p>
      <w:pPr>
        <w:pStyle w:val="Normal"/>
        <w:spacing w:lineRule="auto" w:line="240" w:before="114" w:after="114"/>
        <w:rPr>
          <w:rFonts w:ascii="Aptos" w:hAnsi="Aptos"/>
          <w:sz w:val="22"/>
        </w:rPr>
      </w:pPr>
      <w:r>
        <w:rPr>
          <w:rFonts w:ascii="Aptos" w:hAnsi="Aptos"/>
          <w:sz w:val="22"/>
        </w:rPr>
        <w:t>Recently SmaAtUNet emerged as a promising neural network architecture for learning correction terms from 2m-temperature (T2M) reanalysis data and the corresponding historical forecasts in the contiguous US (ConUS) region</w:t>
      </w:r>
      <w:r>
        <w:rPr>
          <w:rStyle w:val="FootnoteReference"/>
          <w:rFonts w:ascii="Aptos" w:hAnsi="Aptos"/>
          <w:sz w:val="22"/>
        </w:rPr>
        <w:footnoteReference w:id="3"/>
      </w:r>
      <w:r>
        <w:rPr>
          <w:rFonts w:ascii="Aptos" w:hAnsi="Aptos"/>
          <w:sz w:val="22"/>
        </w:rPr>
        <w:t>.</w:t>
      </w:r>
    </w:p>
    <w:p>
      <w:pPr>
        <w:pStyle w:val="Normal"/>
        <w:spacing w:lineRule="auto" w:line="240" w:before="114" w:after="114"/>
        <w:rPr>
          <w:rFonts w:ascii="Aptos" w:hAnsi="Aptos"/>
          <w:sz w:val="22"/>
        </w:rPr>
      </w:pPr>
      <w:r>
        <w:rPr>
          <w:rFonts w:ascii="Aptos" w:hAnsi="Aptos"/>
          <w:sz w:val="22"/>
        </w:rPr>
        <w:t xml:space="preserve">We validated the application of the SmaAtUNet model beyond the ConUS region and to other geophysical fields such as mean sea level pressure (MSLP), 2m-dew point temperature (D2M), horizontal wind components (U10, V10), total cloud cover (TCC), and highlighted the potential and the limitations of this neural architecture. We </w:t>
      </w:r>
      <w:r>
        <w:rPr>
          <w:rFonts w:ascii="Aptos" w:hAnsi="Aptos"/>
          <w:sz w:val="22"/>
        </w:rPr>
        <w:t xml:space="preserve">are currently in the process of </w:t>
      </w:r>
      <w:r>
        <w:rPr>
          <w:rFonts w:ascii="Aptos" w:hAnsi="Aptos"/>
          <w:sz w:val="22"/>
        </w:rPr>
        <w:t>test</w:t>
      </w:r>
      <w:r>
        <w:rPr>
          <w:rFonts w:ascii="Aptos" w:hAnsi="Aptos"/>
          <w:sz w:val="22"/>
        </w:rPr>
        <w:t xml:space="preserve">ing </w:t>
      </w:r>
      <w:r>
        <w:rPr>
          <w:rFonts w:ascii="Aptos" w:hAnsi="Aptos"/>
          <w:sz w:val="22"/>
        </w:rPr>
        <w:t xml:space="preserve">the MLFC algorithm to </w:t>
      </w:r>
      <w:r>
        <w:rPr>
          <w:rFonts w:ascii="Aptos" w:hAnsi="Aptos"/>
          <w:sz w:val="22"/>
        </w:rPr>
        <w:t xml:space="preserve">ocean </w:t>
      </w:r>
      <w:r>
        <w:rPr>
          <w:rFonts w:ascii="Aptos" w:hAnsi="Aptos"/>
          <w:sz w:val="22"/>
        </w:rPr>
        <w:t xml:space="preserve">seasonal predictions </w:t>
      </w:r>
      <w:r>
        <w:rPr>
          <w:rFonts w:ascii="Aptos" w:hAnsi="Aptos"/>
          <w:sz w:val="22"/>
        </w:rPr>
        <w:t>using ORAS5 reanalysis as ground truth</w:t>
      </w:r>
      <w:r>
        <w:rPr>
          <w:rFonts w:ascii="Aptos" w:hAnsi="Aptos"/>
          <w:sz w:val="22"/>
        </w:rPr>
        <w:t>.</w:t>
      </w:r>
    </w:p>
    <w:p>
      <w:pPr>
        <w:pStyle w:val="Normal"/>
        <w:spacing w:lineRule="auto" w:line="240" w:before="114" w:after="114"/>
        <w:rPr>
          <w:rFonts w:ascii="Aptos" w:hAnsi="Aptos"/>
          <w:sz w:val="22"/>
        </w:rPr>
      </w:pPr>
      <w:r>
        <w:rPr>
          <w:rFonts w:ascii="Aptos" w:hAnsi="Aptos"/>
          <w:sz w:val="22"/>
        </w:rPr>
        <w:t>We observed in particular that fields that show both small forecast-reanalysis mean RMSE and large forecast-reanalysis mean correlation and mean R², such as MSLP, can be degraded once the SmaAtUNet correction is applied. This contrasts to the observed pattern for other fields that have small mean RMSE but still available learnable content, such as T2M and D2M, which have better performances, and for fields such as TCC that have small RMSE and small R² that allows for very good performance.</w:t>
      </w:r>
    </w:p>
    <w:p>
      <w:pPr>
        <w:pStyle w:val="Normal"/>
        <w:spacing w:lineRule="auto" w:line="240" w:before="114" w:after="114"/>
        <w:rPr>
          <w:rFonts w:ascii="Aptos" w:hAnsi="Aptos"/>
          <w:sz w:val="22"/>
        </w:rPr>
      </w:pPr>
      <w:r>
        <w:rPr>
          <w:rFonts w:ascii="Aptos" w:hAnsi="Aptos"/>
          <w:sz w:val="22"/>
        </w:rPr>
        <w:t>The next steps involve developing a unified evaluation framework for testing different SmaAtUnet hyper-parameters setups and more advanced MLFC architectures on consistent diagnostics.</w:t>
      </w:r>
    </w:p>
    <w:sectPr>
      <w:footnotePr>
        <w:numFmt w:val="decimal"/>
      </w:footnotePr>
      <w:type w:val="nextPage"/>
      <w:pgSz w:w="11906" w:h="16838"/>
      <w:pgMar w:left="1800" w:right="1800" w:gutter="0" w:header="0" w:top="1134" w:footer="0" w:bottom="144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Aptos">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start"/>
        <w:rPr/>
      </w:pPr>
      <w:r>
        <w:rPr>
          <w:rStyle w:val="FootnoteCharacters"/>
        </w:rPr>
        <w:footnoteRef/>
      </w:r>
      <w:r>
        <w:rPr/>
        <w:t xml:space="preserve"> </w:t>
      </w:r>
      <w:r>
        <w:rPr/>
        <w:t xml:space="preserve">Trebing K., Staǹczyk T., Mehrkanoon D.: SmaAt-UNet: Precipitation nowcasting using a small attention-UNet architecture, Pattern Recognition Letters, </w:t>
      </w:r>
      <w:hyperlink r:id="rId1">
        <w:r>
          <w:rPr>
            <w:rStyle w:val="Hyperlink"/>
          </w:rPr>
          <w:t>https://doi.org/10.1016/j.patrec.2021.01.036,</w:t>
        </w:r>
      </w:hyperlink>
      <w:r>
        <w:rPr/>
        <w:t xml:space="preserve"> 2021</w:t>
      </w:r>
    </w:p>
  </w:footnote>
  <w:footnote w:id="3">
    <w:p>
      <w:pPr>
        <w:pStyle w:val="FootnoteText"/>
        <w:jc w:val="start"/>
        <w:rPr/>
      </w:pPr>
      <w:r>
        <w:rPr>
          <w:rStyle w:val="FootnoteCharacters"/>
        </w:rPr>
        <w:footnoteRef/>
      </w:r>
      <w:r>
        <w:rPr/>
        <w:t xml:space="preserve"> </w:t>
      </w:r>
      <w:r>
        <w:rPr/>
        <w:t xml:space="preserve">Cui L., Wang J., Tabas S. Carley J.: A Machine Learning-Based Bias Correction Method for Global Forecast System Products, NOAA Office Note, </w:t>
      </w:r>
      <w:hyperlink r:id="rId2">
        <w:r>
          <w:rPr>
            <w:rStyle w:val="Hyperlink"/>
          </w:rPr>
          <w:t>https://doi.org/10.25923/6266-e822</w:t>
        </w:r>
      </w:hyperlink>
      <w:r>
        <w:rPr/>
        <w:t>, 2025</w:t>
      </w:r>
    </w:p>
  </w:footnote>
</w:footnotes>
</file>

<file path=word/settings.xml><?xml version="1.0" encoding="utf-8"?>
<w:settings xmlns:w="http://schemas.openxmlformats.org/wordprocessingml/2006/main">
  <w:zoom w:percent="100"/>
  <w:defaultTabStop w:val="420"/>
  <w:autoHyphenation w:val="true"/>
  <w:hyphenationZone w:val="0"/>
  <w:footnotePr>
    <w:numFmt w:val="decimal"/>
    <w:footnote w:id="0"/>
    <w:footnote w:id="1"/>
  </w:footnotePr>
  <w:compat>
    <w:doNotExpandShiftReturn/>
    <w:balanceSingleByteDoubleByteWidth/>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docVars>
    <w:docVar w:name="commondata" w:val="eyJoZGlkIjoiOTZkYzA5Y2QxZWE1OTk3ZWRlYmU2YjgxOWQ0YmUzMzcifQ=="/>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GB" w:eastAsia="en-GB"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both"/>
    </w:pPr>
    <w:rPr>
      <w:rFonts w:ascii="Times New Roman" w:hAnsi="Times New Roman" w:eastAsia="SimSun" w:cs="" w:cstheme="minorBidi"/>
      <w:color w:val="auto"/>
      <w:kern w:val="2"/>
      <w:sz w:val="21"/>
      <w:szCs w:val="22"/>
      <w:lang w:val="en-US" w:eastAsia="zh-CN" w:bidi="ar-SA"/>
    </w:rPr>
  </w:style>
  <w:style w:type="paragraph" w:styleId="Heading1">
    <w:name w:val="heading 1"/>
    <w:basedOn w:val="Heading"/>
    <w:next w:val="BodyText"/>
    <w:qFormat/>
    <w:pPr>
      <w:spacing w:before="240" w:after="120"/>
      <w:outlineLvl w:val="0"/>
    </w:pPr>
    <w:rPr>
      <w:rFonts w:ascii="Liberation Serif" w:hAnsi="Liberation Serif" w:eastAsia="DejaVu Sans" w:cs="DejaVu Sans"/>
      <w:b/>
      <w:bCs/>
      <w:sz w:val="48"/>
      <w:szCs w:val="48"/>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NumberingSymbols">
    <w:name w:val="Numbering Symbols"/>
    <w:qFormat/>
    <w:rPr/>
  </w:style>
  <w:style w:type="character" w:styleId="EndnoteCharacters">
    <w:name w:val="Endnote Characters"/>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Characters">
    <w:name w:val="Footnote Characters"/>
    <w:qFormat/>
    <w:rPr>
      <w:vertAlign w:val="superscript"/>
    </w:rPr>
  </w:style>
  <w:style w:type="character" w:styleId="FootnoteCharactersuser">
    <w:name w:val="Footnote Characters (user)"/>
    <w:qFormat/>
    <w:rPr>
      <w:vertAlign w:val="superscript"/>
    </w:rPr>
  </w:style>
  <w:style w:type="character" w:styleId="FootnoteReference">
    <w:name w:val="foot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Noto Sans CJK SC" w:cs="Free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EndnoteText">
    <w:name w:val="endnote text"/>
    <w:basedOn w:val="Normal"/>
    <w:pPr>
      <w:suppressLineNumbers/>
      <w:ind w:hanging="340" w:start="340"/>
    </w:pPr>
    <w:rPr>
      <w:sz w:val="20"/>
      <w:szCs w:val="20"/>
    </w:rPr>
  </w:style>
  <w:style w:type="paragraph" w:styleId="FootnoteText">
    <w:name w:val="footnote text"/>
    <w:basedOn w:val="Normal"/>
    <w:pPr>
      <w:suppressLineNumbers/>
      <w:ind w:hanging="340" w:start="340"/>
    </w:pPr>
    <w:rPr>
      <w:sz w:val="20"/>
      <w:szCs w:val="20"/>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Trebing%20K.,%20Sta&#505;czyk%20T.,%20Mehrkanoon%20D.:%20SmaAt-UNet:%20Precipitation%20nowcasting%20using%20a%20small%20attention-UNet%20architecture,%20Pattern%20Recognition%20Letters,%20https://doi.org/10.1016/j.patrec.2021.01.036,%202021" TargetMode="External"/><Relationship Id="rId2" Type="http://schemas.openxmlformats.org/officeDocument/2006/relationships/hyperlink" Target="https://doi.org/10.25923/6266-e822" TargetMode="External"/>
</Relationships>
</file>

<file path=word/theme/theme1.xml><?xml version="1.0" encoding="utf-8"?>
<a:theme xmlns:a="http://schemas.openxmlformats.org/drawingml/2006/main" xmlns:r="http://schemas.openxmlformats.org/officeDocument/2006/relationships" name="Office 主题​​">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itchFamily="0" charset="1"/>
        <a:ea typeface=""/>
        <a:cs typeface=""/>
      </a:majorFont>
      <a:minorFont>
        <a:latin typeface="等线"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824</TotalTime>
  <Application>LibreOffice/25.8.3.2$Linux_X86_64 LibreOffice_project/580$Build-2</Application>
  <AppVersion>15.0000</AppVersion>
  <Pages>1</Pages>
  <Words>318</Words>
  <Characters>1981</Characters>
  <CharactersWithSpaces>2285</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2024-12-05T11:08:00Z</dcterms:created>
  <dc:creator>张 苗茵</dc:creator>
  <dc:description/>
  <dc:language>en-US</dc:language>
  <cp:lastModifiedBy/>
  <dcterms:modified xsi:type="dcterms:W3CDTF">2025-12-09T17:04:14Z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31DF4B301F96420485D3BBD7451342B9_13</vt:lpwstr>
  </property>
  <property fmtid="{D5CDD505-2E9C-101B-9397-08002B2CF9AE}" pid="3" name="KSOProductBuildVer">
    <vt:lpwstr>2052-11.1.0.14036</vt:lpwstr>
  </property>
</Properties>
</file>