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Training end-to-end neural mapping schemes from simulation data for the reconstruction of global-scale sea surface fields</w:t>
      </w:r>
      <w:r w:rsidDel="00000000" w:rsidR="00000000" w:rsidRPr="00000000">
        <w:rPr>
          <w:rtl w:val="0"/>
        </w:rPr>
      </w:r>
    </w:p>
    <w:p w:rsidR="00000000" w:rsidDel="00000000" w:rsidP="00000000" w:rsidRDefault="00000000" w:rsidRPr="00000000" w14:paraId="00000002">
      <w:pPr>
        <w:spacing w:before="200" w:line="240" w:lineRule="auto"/>
        <w:jc w:val="center"/>
        <w:rPr>
          <w:rFonts w:ascii="Times New Roman" w:cs="Times New Roman" w:eastAsia="Times New Roman" w:hAnsi="Times New Roman"/>
          <w:sz w:val="36"/>
          <w:szCs w:val="36"/>
          <w:vertAlign w:val="superscript"/>
        </w:rPr>
      </w:pPr>
      <w:r w:rsidDel="00000000" w:rsidR="00000000" w:rsidRPr="00000000">
        <w:rPr>
          <w:rFonts w:ascii="Times New Roman" w:cs="Times New Roman" w:eastAsia="Times New Roman" w:hAnsi="Times New Roman"/>
          <w:rtl w:val="0"/>
        </w:rPr>
        <w:t xml:space="preserve">Daniel Zhu</w:t>
      </w:r>
      <w:r w:rsidDel="00000000" w:rsidR="00000000" w:rsidRPr="00000000">
        <w:rPr>
          <w:rFonts w:ascii="Times New Roman" w:cs="Times New Roman" w:eastAsia="Times New Roman" w:hAnsi="Times New Roman"/>
          <w:sz w:val="36"/>
          <w:szCs w:val="36"/>
          <w:vertAlign w:val="superscript"/>
          <w:rtl w:val="0"/>
        </w:rPr>
        <w:t xml:space="preserve">1,4</w:t>
      </w:r>
      <w:r w:rsidDel="00000000" w:rsidR="00000000" w:rsidRPr="00000000">
        <w:rPr>
          <w:rFonts w:ascii="Times New Roman" w:cs="Times New Roman" w:eastAsia="Times New Roman" w:hAnsi="Times New Roman"/>
          <w:rtl w:val="0"/>
        </w:rPr>
        <w:t xml:space="preserve">, Paul de Naily</w:t>
      </w:r>
      <w:r w:rsidDel="00000000" w:rsidR="00000000" w:rsidRPr="00000000">
        <w:rPr>
          <w:rFonts w:ascii="Times New Roman" w:cs="Times New Roman" w:eastAsia="Times New Roman" w:hAnsi="Times New Roman"/>
          <w:sz w:val="36"/>
          <w:szCs w:val="36"/>
          <w:vertAlign w:val="superscript"/>
          <w:rtl w:val="0"/>
        </w:rPr>
        <w:t xml:space="preserve">1,4</w:t>
      </w:r>
      <w:r w:rsidDel="00000000" w:rsidR="00000000" w:rsidRPr="00000000">
        <w:rPr>
          <w:rFonts w:ascii="Times New Roman" w:cs="Times New Roman" w:eastAsia="Times New Roman" w:hAnsi="Times New Roman"/>
          <w:rtl w:val="0"/>
        </w:rPr>
        <w:t xml:space="preserve">, Daria Botvynko</w:t>
      </w:r>
      <w:r w:rsidDel="00000000" w:rsidR="00000000" w:rsidRPr="00000000">
        <w:rPr>
          <w:rFonts w:ascii="Times New Roman" w:cs="Times New Roman" w:eastAsia="Times New Roman" w:hAnsi="Times New Roman"/>
          <w:sz w:val="36"/>
          <w:szCs w:val="36"/>
          <w:vertAlign w:val="superscript"/>
          <w:rtl w:val="0"/>
        </w:rPr>
        <w:t xml:space="preserve">1,4</w:t>
      </w:r>
      <w:r w:rsidDel="00000000" w:rsidR="00000000" w:rsidRPr="00000000">
        <w:rPr>
          <w:rFonts w:ascii="Times New Roman" w:cs="Times New Roman" w:eastAsia="Times New Roman" w:hAnsi="Times New Roman"/>
          <w:rtl w:val="0"/>
        </w:rPr>
        <w:t xml:space="preserve">, Julien le Sommer</w:t>
      </w:r>
      <w:r w:rsidDel="00000000" w:rsidR="00000000" w:rsidRPr="00000000">
        <w:rPr>
          <w:rFonts w:ascii="Times New Roman" w:cs="Times New Roman" w:eastAsia="Times New Roman" w:hAnsi="Times New Roman"/>
          <w:sz w:val="36"/>
          <w:szCs w:val="36"/>
          <w:vertAlign w:val="superscript"/>
          <w:rtl w:val="0"/>
        </w:rPr>
        <w:t xml:space="preserve">2</w:t>
      </w:r>
      <w:r w:rsidDel="00000000" w:rsidR="00000000" w:rsidRPr="00000000">
        <w:rPr>
          <w:rFonts w:ascii="Times New Roman" w:cs="Times New Roman" w:eastAsia="Times New Roman" w:hAnsi="Times New Roman"/>
          <w:rtl w:val="0"/>
        </w:rPr>
        <w:t xml:space="preserve">, François Rousseau</w:t>
      </w:r>
      <w:r w:rsidDel="00000000" w:rsidR="00000000" w:rsidRPr="00000000">
        <w:rPr>
          <w:rFonts w:ascii="Times New Roman" w:cs="Times New Roman" w:eastAsia="Times New Roman" w:hAnsi="Times New Roman"/>
          <w:sz w:val="36"/>
          <w:szCs w:val="36"/>
          <w:vertAlign w:val="superscript"/>
          <w:rtl w:val="0"/>
        </w:rPr>
        <w:t xml:space="preserve">3</w:t>
      </w:r>
      <w:r w:rsidDel="00000000" w:rsidR="00000000" w:rsidRPr="00000000">
        <w:rPr>
          <w:rFonts w:ascii="Times New Roman" w:cs="Times New Roman" w:eastAsia="Times New Roman" w:hAnsi="Times New Roman"/>
          <w:rtl w:val="0"/>
        </w:rPr>
        <w:t xml:space="preserve">, Ronan Fablet</w:t>
      </w:r>
      <w:r w:rsidDel="00000000" w:rsidR="00000000" w:rsidRPr="00000000">
        <w:rPr>
          <w:rFonts w:ascii="Times New Roman" w:cs="Times New Roman" w:eastAsia="Times New Roman" w:hAnsi="Times New Roman"/>
          <w:sz w:val="36"/>
          <w:szCs w:val="36"/>
          <w:vertAlign w:val="superscript"/>
          <w:rtl w:val="0"/>
        </w:rPr>
        <w:t xml:space="preserve">1,4</w:t>
      </w:r>
    </w:p>
    <w:p w:rsidR="00000000" w:rsidDel="00000000" w:rsidP="00000000" w:rsidRDefault="00000000" w:rsidRPr="00000000" w14:paraId="00000003">
      <w:pPr>
        <w:spacing w:before="200" w:line="167.99999999999997"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rtl w:val="0"/>
        </w:rPr>
        <w:t xml:space="preserve"> IMT Atlantique, UMR CNRS 6285 </w:t>
      </w:r>
      <w:r w:rsidDel="00000000" w:rsidR="00000000" w:rsidRPr="00000000">
        <w:rPr>
          <w:rFonts w:ascii="Times New Roman" w:cs="Times New Roman" w:eastAsia="Times New Roman" w:hAnsi="Times New Roman"/>
          <w:rtl w:val="0"/>
        </w:rPr>
        <w:t xml:space="preserve">Lab-STICC, Brest, France</w:t>
      </w:r>
    </w:p>
    <w:p w:rsidR="00000000" w:rsidDel="00000000" w:rsidP="00000000" w:rsidRDefault="00000000" w:rsidRPr="00000000" w14:paraId="00000004">
      <w:pPr>
        <w:spacing w:before="200" w:line="167.99999999999997"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vertAlign w:val="superscript"/>
          <w:rtl w:val="0"/>
        </w:rPr>
        <w:t xml:space="preserve">2</w:t>
      </w:r>
      <w:r w:rsidDel="00000000" w:rsidR="00000000" w:rsidRPr="00000000">
        <w:rPr>
          <w:rFonts w:ascii="Times New Roman" w:cs="Times New Roman" w:eastAsia="Times New Roman" w:hAnsi="Times New Roman"/>
          <w:rtl w:val="0"/>
        </w:rPr>
        <w:t xml:space="preserve">CNRS, UMR IGE, Grenoble, France</w:t>
      </w:r>
      <w:r w:rsidDel="00000000" w:rsidR="00000000" w:rsidRPr="00000000">
        <w:rPr>
          <w:rtl w:val="0"/>
        </w:rPr>
      </w:r>
    </w:p>
    <w:p w:rsidR="00000000" w:rsidDel="00000000" w:rsidP="00000000" w:rsidRDefault="00000000" w:rsidRPr="00000000" w14:paraId="00000005">
      <w:pPr>
        <w:spacing w:before="200" w:line="167.99999999999997"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vertAlign w:val="superscript"/>
          <w:rtl w:val="0"/>
        </w:rPr>
        <w:t xml:space="preserve">3</w:t>
      </w:r>
      <w:r w:rsidDel="00000000" w:rsidR="00000000" w:rsidRPr="00000000">
        <w:rPr>
          <w:rFonts w:ascii="Times New Roman" w:cs="Times New Roman" w:eastAsia="Times New Roman" w:hAnsi="Times New Roman"/>
          <w:rtl w:val="0"/>
        </w:rPr>
        <w:t xml:space="preserve"> IMT Atlantique, UMR Latim, Brest, France</w:t>
      </w:r>
      <w:r w:rsidDel="00000000" w:rsidR="00000000" w:rsidRPr="00000000">
        <w:rPr>
          <w:rtl w:val="0"/>
        </w:rPr>
      </w:r>
    </w:p>
    <w:p w:rsidR="00000000" w:rsidDel="00000000" w:rsidP="00000000" w:rsidRDefault="00000000" w:rsidRPr="00000000" w14:paraId="00000006">
      <w:pPr>
        <w:spacing w:before="200" w:line="167.99999999999997"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vertAlign w:val="superscript"/>
          <w:rtl w:val="0"/>
        </w:rPr>
        <w:t xml:space="preserve">4</w:t>
      </w:r>
      <w:r w:rsidDel="00000000" w:rsidR="00000000" w:rsidRPr="00000000">
        <w:rPr>
          <w:rFonts w:ascii="Times New Roman" w:cs="Times New Roman" w:eastAsia="Times New Roman" w:hAnsi="Times New Roman"/>
          <w:rtl w:val="0"/>
        </w:rPr>
        <w:t xml:space="preserve">Inria, Odyssey, Brest</w:t>
      </w:r>
      <w:r w:rsidDel="00000000" w:rsidR="00000000" w:rsidRPr="00000000">
        <w:rPr>
          <w:rFonts w:ascii="Times New Roman" w:cs="Times New Roman" w:eastAsia="Times New Roman" w:hAnsi="Times New Roman"/>
          <w:rtl w:val="0"/>
        </w:rPr>
        <w:t xml:space="preserve">, France</w:t>
      </w:r>
    </w:p>
    <w:p w:rsidR="00000000" w:rsidDel="00000000" w:rsidP="00000000" w:rsidRDefault="00000000" w:rsidRPr="00000000" w14:paraId="00000007">
      <w:pPr>
        <w:spacing w:before="200" w:line="167.99999999999997"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Neural mapping schemes have become state-of-the-art approaches for the reconstruction of sea surface dynamics from irregularly-sampled satellite-derived observations, the mapping of sea level anomaly from satellite altimetry data being a peculiar example of this trend. While most state-of-the-art demonstrations rely on training end-to-end neural schemes from observation datasets, we investigate how training strategies based on OSSE (Observing System Simulation Experiment) datasets can also deliver state-of-the-art reconstruction performance. Whereas our previous work (Febvre et al., 2023) showcased this strategy for a Gulf Stream region, we explore key features of the OSSE-based training as well as of neural mapping schemes to scale up to global-scale sea surface dynamics for real satellite altimetry data. The considered experimental setup exploits the global SLA mapping benchmark for a 6-altimeter configuration in 2019. We consider different configurations of the OSSE-based datasets to account for both the impact of sampling patterns as well as of observation noise processes. We also benchmark different neural architectures, namely Unets and unrolled neural architectures, including 4dvarnets. We report state-of-the-art performance on a global scale for the best combination of training datasets and neural schemes. Compared with NeurOST (Martin et al., 2024), we achieve slightly better performance on a global scale, especially in high-variability regions (e.g., Gulf Stream, Kurushio, Aghulas Current…).  Interestingly, our experiments suggest that the quality of the training dataset is more impactful than the specifics of the considered neural schemes. We report the best performance for 4dvarnet schemes and discuss how to scale such architectures up to the computational complexity of global-scale mapping experiments. Our study also addresses uncertainty quantification by bridging 4dvarnets and diffusion models, and demonstrates the benefit of an ensemble approach to improve the mapping performance in regions with lower signal-to-noise ratio. We discuss further potential insights for future work, especially global ocean reanalysis. </w:t>
      </w:r>
    </w:p>
    <w:p w:rsidR="00000000" w:rsidDel="00000000" w:rsidP="00000000" w:rsidRDefault="00000000" w:rsidRPr="00000000" w14:paraId="00000009">
      <w:pPr>
        <w:spacing w:after="200" w:lin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