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Bridging Scales in Mediterranean Biogeochemical Prediction: A High-Order Ensemble Assimilation Coupled with AI-Driven Downscaling</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Simone Spada</w:t>
      </w:r>
      <w:r w:rsidDel="00000000" w:rsidR="00000000" w:rsidRPr="00000000">
        <w:rPr>
          <w:i w:val="1"/>
          <w:iCs w:val="1"/>
          <w:vertAlign w:val="superscript"/>
          <w:rtl w:val="0"/>
        </w:rPr>
        <w:t xml:space="preserve">1</w:t>
      </w:r>
      <w:r w:rsidDel="00000000" w:rsidR="00000000" w:rsidRPr="00000000">
        <w:rPr>
          <w:i w:val="1"/>
          <w:iCs w:val="1"/>
          <w:rtl w:val="0"/>
        </w:rPr>
        <w:t xml:space="preserve">, Federica Adobbati</w:t>
      </w:r>
      <w:r w:rsidDel="00000000" w:rsidR="00000000" w:rsidRPr="00000000">
        <w:rPr>
          <w:i w:val="1"/>
          <w:iCs w:val="1"/>
          <w:vertAlign w:val="superscript"/>
          <w:rtl w:val="0"/>
        </w:rPr>
        <w:t xml:space="preserve">2</w:t>
      </w:r>
      <w:r w:rsidDel="00000000" w:rsidR="00000000" w:rsidRPr="00000000">
        <w:rPr>
          <w:i w:val="1"/>
          <w:iCs w:val="1"/>
          <w:rtl w:val="0"/>
        </w:rPr>
        <w:t xml:space="preserve">, Anna Teruzzi</w:t>
      </w:r>
      <w:r w:rsidDel="00000000" w:rsidR="00000000" w:rsidRPr="00000000">
        <w:rPr>
          <w:i w:val="1"/>
          <w:iCs w:val="1"/>
          <w:vertAlign w:val="superscript"/>
          <w:rtl w:val="0"/>
        </w:rPr>
        <w:t xml:space="preserve">1</w:t>
      </w:r>
      <w:r w:rsidDel="00000000" w:rsidR="00000000" w:rsidRPr="00000000">
        <w:rPr>
          <w:i w:val="1"/>
          <w:iCs w:val="1"/>
          <w:rtl w:val="0"/>
        </w:rPr>
        <w:t xml:space="preserve">, Gianpiero Cossarini</w:t>
      </w:r>
      <w:r w:rsidDel="00000000" w:rsidR="00000000" w:rsidRPr="00000000">
        <w:rPr>
          <w:i w:val="1"/>
          <w:iCs w:val="1"/>
          <w:vertAlign w:val="superscript"/>
          <w:rtl w:val="0"/>
        </w:rPr>
        <w:t xml:space="preserve">1</w:t>
      </w:r>
      <w:r w:rsidDel="00000000" w:rsidR="00000000" w:rsidRPr="00000000">
        <w:rPr>
          <w:rtl w:val="0"/>
        </w:rPr>
      </w:r>
    </w:p>
    <w:p w:rsidR="00000000" w:rsidDel="00000000" w:rsidP="00000000" w:rsidRDefault="00000000" w:rsidRPr="00000000" w14:paraId="00000004">
      <w:pPr>
        <w:jc w:val="center"/>
        <w:rPr>
          <w:i w:val="1"/>
          <w:iCs w:val="1"/>
        </w:rPr>
      </w:pPr>
      <w:r w:rsidDel="00000000" w:rsidR="00000000" w:rsidRPr="00000000">
        <w:rPr>
          <w:rtl w:val="0"/>
        </w:rPr>
      </w:r>
    </w:p>
    <w:p w:rsidR="00000000" w:rsidDel="00000000" w:rsidP="00000000" w:rsidRDefault="00000000" w:rsidRPr="00000000" w14:paraId="00000005">
      <w:pPr>
        <w:jc w:val="center"/>
        <w:rPr>
          <w:i w:val="1"/>
          <w:iCs w:val="1"/>
        </w:rPr>
      </w:pPr>
      <w:r w:rsidDel="00000000" w:rsidR="00000000" w:rsidRPr="00000000">
        <w:rPr>
          <w:i w:val="1"/>
          <w:iCs w:val="1"/>
          <w:vertAlign w:val="superscript"/>
          <w:rtl w:val="0"/>
        </w:rPr>
        <w:t xml:space="preserve">1</w:t>
      </w:r>
      <w:r w:rsidDel="00000000" w:rsidR="00000000" w:rsidRPr="00000000">
        <w:rPr>
          <w:i w:val="1"/>
          <w:iCs w:val="1"/>
          <w:rtl w:val="0"/>
        </w:rPr>
        <w:t xml:space="preserve"> National Institute of Oceanography and Applied Geophysics - OGS</w:t>
      </w:r>
    </w:p>
    <w:p w:rsidR="00000000" w:rsidDel="00000000" w:rsidP="00000000" w:rsidRDefault="00000000" w:rsidRPr="00000000" w14:paraId="00000006">
      <w:pPr>
        <w:jc w:val="center"/>
        <w:rPr>
          <w:i w:val="1"/>
          <w:iCs w:val="1"/>
        </w:rPr>
      </w:pPr>
      <w:r w:rsidDel="00000000" w:rsidR="00000000" w:rsidRPr="00000000">
        <w:rPr>
          <w:i w:val="1"/>
          <w:iCs w:val="1"/>
          <w:vertAlign w:val="superscript"/>
          <w:rtl w:val="0"/>
        </w:rPr>
        <w:t xml:space="preserve">2</w:t>
      </w:r>
      <w:r w:rsidDel="00000000" w:rsidR="00000000" w:rsidRPr="00000000">
        <w:rPr>
          <w:i w:val="1"/>
          <w:iCs w:val="1"/>
          <w:rtl w:val="0"/>
        </w:rPr>
        <w:t xml:space="preserve"> University of Liège</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Abstract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Operational ocean forecasting faces the demand for high resolution in coastal ecosystem applications and the growing computational cost of advanced data assimilation tools accounting for uncertainty quantification. At the National Institute of Oceanography and Applied Geophysics (OGS), we are developing a novel biogeochemical data assimilation framework for the Mediterranean Sea that synergizes a high-order Ensemble Kalman Filter (GHOSH) with an artificial intelligence–enhanced downscaling pathway.</w:t>
      </w:r>
    </w:p>
    <w:p w:rsidR="00000000" w:rsidDel="00000000" w:rsidP="00000000" w:rsidRDefault="00000000" w:rsidRPr="00000000" w14:paraId="0000000A">
      <w:pPr>
        <w:rPr/>
      </w:pPr>
      <w:r w:rsidDel="00000000" w:rsidR="00000000" w:rsidRPr="00000000">
        <w:rPr>
          <w:rtl w:val="0"/>
        </w:rPr>
        <w:t xml:space="preserve">Based on the OGSTM-BFM coupled physical–biogeochemical model, our approach aims to improve the Mediterranean biogeochemical operational products of the Copernicus Marine Service by incorporating an ensemble-based analysis of assimilated observations. Computational constraints associated with large ensembles at operational grid spacing are addressed through a two-stage resolution strategy: ensemble members are evolved at a low-resolution configuration to reduce computational cost and subsequently mapped into high-resolution space for the assimilation updates.</w:t>
      </w:r>
    </w:p>
    <w:p w:rsidR="00000000" w:rsidDel="00000000" w:rsidP="00000000" w:rsidRDefault="00000000" w:rsidRPr="00000000" w14:paraId="0000000B">
      <w:pPr>
        <w:rPr/>
      </w:pPr>
      <w:r w:rsidDel="00000000" w:rsidR="00000000" w:rsidRPr="00000000">
        <w:rPr>
          <w:rtl w:val="0"/>
        </w:rPr>
        <w:t xml:space="preserve">This mapping relies on an AI-driven downscaling model developed at OGS, which employs a three-dimensional UNet-like convolutional neural network. The network ingests low-resolution physical and biogeochemical Copernicus fields, together with ancillary inputs (e.g., river flow rates) and exploits an encoder–decoder architecture with skip connections to reconstruct fine-scale spatial features not resolved by coarse models. This UNet-like model has demonstrated the ability to efficiently recover coastal variability and mesoscale structures from low-resolution input fields.</w:t>
      </w:r>
    </w:p>
    <w:p w:rsidR="00000000" w:rsidDel="00000000" w:rsidP="00000000" w:rsidRDefault="00000000" w:rsidRPr="00000000" w14:paraId="0000000C">
      <w:pPr>
        <w:rPr/>
      </w:pPr>
      <w:r w:rsidDel="00000000" w:rsidR="00000000" w:rsidRPr="00000000">
        <w:rPr>
          <w:rtl w:val="0"/>
        </w:rPr>
        <w:t xml:space="preserve">While the coupled application of the high-order EnKF and the AI-based downscaling is currently under development, both the assimilation framework and the downscaling model are fully implemented and ready for integration.</w:t>
      </w:r>
      <w:r w:rsidDel="00000000" w:rsidR="00000000" w:rsidRPr="00000000">
        <w:rPr>
          <w:rtl w:val="0"/>
        </w:rPr>
        <w:t xml:space="preserve"> This hybrid methodology provides a promising pathway towards computationally efficient, high-resolution biogeochemical state estimation and exemplifies the integration of mechanistic models and AI techniques for next-generation marine forecasting systems.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